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A5F" w:val="clear"/>
            <w:tcMar>
              <w:top w:type="dxa" w:w="600"/>
              <w:left w:type="dxa" w:w="560"/>
              <w:bottom w:type="dxa" w:w="600"/>
              <w:right w:type="dxa" w:w="560"/>
            </w:tcMar>
          </w:tcPr>
          <w:p>
            <w:pPr>
              <w:spacing w:after="120" w:before="0"/>
            </w:pPr>
            <w:r>
              <w:rPr>
                <w:rFonts w:ascii="Poppins" w:cs="Poppins" w:eastAsia="Poppins" w:hAnsi="Poppins"/>
                <w:color w:val="A0B4CC"/>
                <w:sz w:val="20"/>
                <w:szCs w:val="20"/>
              </w:rPr>
              <w:t xml:space="preserve">SAD — System Architecture Document</w:t>
            </w:r>
          </w:p>
          <w:p>
            <w:pPr>
              <w:spacing w:after="80" w:before="0"/>
            </w:pPr>
            <w:r>
              <w:rPr>
                <w:rFonts w:ascii="Sora" w:cs="Sora" w:eastAsia="Sora" w:hAnsi="Sora"/>
                <w:b/>
                <w:bCs/>
                <w:color w:val="FFFFFF"/>
                <w:sz w:val="52"/>
                <w:szCs w:val="52"/>
              </w:rPr>
              <w:t xml:space="preserve">Katalyzer Vega</w:t>
            </w:r>
          </w:p>
          <w:p>
            <w:pPr>
              <w:spacing w:after="360" w:before="0"/>
            </w:pPr>
            <w:r>
              <w:rPr>
                <w:rFonts w:ascii="Poppins" w:cs="Poppins" w:eastAsia="Poppins" w:hAnsi="Poppins"/>
                <w:color w:val="CCE0F5"/>
                <w:sz w:val="22"/>
                <w:szCs w:val="22"/>
              </w:rPr>
              <w:t xml:space="preserve">Plataforma interna de diagnóstico e análise de carteira de dívida ativa</w:t>
            </w:r>
          </w:p>
          <w:p>
            <w:pPr>
              <w:pBdr>
                <w:bottom w:val="single" w:color="00A8BF" w:sz="4" w:space="8"/>
              </w:pBdr>
              <w:spacing w:after="0" w:before="0"/>
            </w:pP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80"/>
      </w:tblGrid>
      <w:tr>
        <w:trPr>
          <w:tblHeader/>
        </w:trPr>
        <w:tc>
          <w:tcPr>
            <w:tcW w:type="dxa" w:w="22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88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Versão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Referência técnica oficial — Abril 2026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Propósito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Ferramenta interna de análise de carteira — backoffice Katalyzer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Audiência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Time de dados, desenvolvedores, onboarding técnico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Stack principal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Python · PostgreSQL · Dash · Docker Compose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Relação com Órion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Sistema separado — banco próprio, deploy independente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Serviço alvo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Análise pré-operação de carteiras municipais de dívida ativa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jc w:val="center"/>
      </w:pPr>
      <w:r>
        <w:rPr>
          <w:rFonts w:ascii="Poppins" w:cs="Poppins" w:eastAsia="Poppins" w:hAnsi="Poppins"/>
          <w:color w:val="6B7280"/>
          <w:sz w:val="18"/>
          <w:szCs w:val="18"/>
        </w:rPr>
        <w:t xml:space="preserve">Katalyzer Tecnologia Ltda. · CNPJ 59.357.357/0001-74 · Confidencial · Abril 2026</w:t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b/>
          <w:bCs/>
          <w:color w:val="0A2A5F"/>
        </w:rPr>
        <w:t xml:space="preserve">1. Introdução</w:t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1.1 Propósito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O Katalyzer Vega é uma ferramenta interna de análise de carteira de dívida ativa municipal. Ela opera no backoffice da Katalyzer e é usada exclusivamente pelo time de análise de dados antes de estruturar operações de recuperação para novos clientes municipais.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A ferramenta recebe uma carteira bruta (CSV ou API), executa um pipeline de higienização e scoring, e gera um diagnóstico completo em 7 abas analíticas: Diagnóstico, Segmentação, Scoring, Safra &amp; Aging, Contactabilidade, Histórico e Cenários.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O Vega não é um produto para o cliente municipal — é a inteligência interna da Katalyzer para operar a carteira. O cliente nunca acessa esta ferramenta.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1.2 Relação com o Katalyzer Órion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O Vega é um sistema completamente separado do Katalyzer Órion. Não compartilha banco de dados, não expõe APIs para o Órion, e pode ser deployado e mantido de forma independente.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40"/>
        <w:gridCol w:w="3840"/>
      </w:tblGrid>
      <w:tr>
        <w:trPr>
          <w:tblHeader/>
        </w:trPr>
        <w:tc>
          <w:tcPr>
            <w:tcW w:type="dxa" w:w="24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384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Katalyzer Vega</w:t>
            </w:r>
          </w:p>
        </w:tc>
        <w:tc>
          <w:tcPr>
            <w:tcW w:type="dxa" w:w="384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Katalyzer Órion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Propósito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Diagnóstico de carteira pré-operação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Gestão de cobrança em produção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Usuário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Time interno de análise de dados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Procuradoria e Fazenda municipal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Stack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Python + Dash + PostgreSQL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Rails 8 + React 19 + PostgreSQL 17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Deploy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Docker Compose — Railway/Render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On-premise — Docker Compose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PostgreSQL próprio (schema vega)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PostgreSQL 17 (4 schemas isolados)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Acesso externo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Nenhum — uso interno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API REST + webhooks externos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1.3 Premissas e limitações de escopo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O Vega não executa operações de cobrança — apenas diagnostica a carteira.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O scoring do Vega (Score v1 determinístico) deve reproduzir a mesma lógica do Órion para garantir consistência entre diagnóstico e operação.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Todos os dados processados são da carteira do cliente municipal — tratados com sigilo conforme LGPD.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A ferramenta opera com dados mockados no modo de demonstração e com dados reais em produção — a distinção é controlada por flag de ambiente.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O decay nas projeções de cenário é parametrizado com referências de mercado por padrão, e pode ser calibrado com os dados reais de safra de cada carteira analisada.</w:t>
      </w:r>
    </w:p>
    <w:p>
      <w:pPr>
        <w:spacing w:after="16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b/>
          <w:bCs/>
          <w:color w:val="0A2A5F"/>
        </w:rPr>
        <w:t xml:space="preserve">2. Stack Tecnológica</w:t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2.1 Componentes principais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1360"/>
        <w:gridCol w:w="4600"/>
      </w:tblGrid>
      <w:tr>
        <w:trPr>
          <w:tblHeader/>
        </w:trPr>
        <w:tc>
          <w:tcPr>
            <w:tcW w:type="dxa" w:w="20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24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13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46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Justificativa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Linguagem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Python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3.11+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Ecossistema de dados maduro; consistência com sidecar do Órion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Framework web/UI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Dash (Plotly)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2.x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Dashboards analíticos multi-usuário; suporte a autenticação; deploy em nuvem sem SPA separada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PostgreSQL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15+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Consistência com o Órion; suporte a JSONB e queries analíticas; multi-tenant por schema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Visualizações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Plotly / Chart.js (mockup)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Latest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Plotly no Dash para produção; Chart.js no mockup HTML para validação de UX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Acesso ao banco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psycopg2 + pandas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Latest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SQL puro via pd.read_sql(). Sem ORM — time de dados escreve SQL diretamente em db/queries.py. Alembic apenas para migrations.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Pipeline de dados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Pandas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Latest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Ingestão, higienização, segmentação e transformação de carteiras brutas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Migrations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Alembic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Latest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Controle de versão do schema PostgreSQL. Não usado como ORM.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Insights por LLM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OpenAI (gpt-4o)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Latest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Geração de insights cruzados por aba via botão. Interpreta métricas calculadas — nunca calcula valores financeiros.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ML / Scoring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Scikit-learn / LightGBM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Latest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LightGBM para Score v2 futuro; scikit para utilitários do Score v1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Autenticação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Flask-Login / Dash Auth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Latest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Autenticação básica por usuário — time interno apenas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Containerização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Docker + Docker Compose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Latest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Reprodutibilidade dev/staging/prod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Deploy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Railway ou Render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Cloud PaaS simples; sem overhead de Kubernetes para ferramenta interna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Exportação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pandas (CSV/Parquet) + docx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Latest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Exportação de dados e relatórios DOCX de diagnóstico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2.2 Por que Dash e não Streamlit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Streamlit foi avaliado e rejeitado por três razões concretas: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Streamlit re-executa o script inteiro a cada interação do usuário — inviável com datasets de carteira de 8.000+ CDAs e pipelines de scoring.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Streamlit não tem suporte nativo a múltiplos usuários simultâneos com estado isolado — o Vega precisa que dois analistas possam trabalhar em carteiras diferentes ao mesmo tempo.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Dash tem modelo de callback explícito que se integra melhor com deploy em Railway/Render e com autenticação por usuário.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2.3 Por que psycopg2 + pandas direto, sem ORM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SQLAlchemy foi avaliado e rejeitado. O time de dados já escreve SQL com fluência — adicionar um ORM criaria uma camada de abstração desnecessária que o time teria que aprender sem ganho real.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Toda query analítica é SQL explícito em db/queries.py, lido via pd.read_sql(sql, conn, params={...}).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Alembic é mantido para controle de versão do schema (migrations) — apenas isso. Não é usado como ORM.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Resultado: o time escreve a query que quer, pandas processa, Dash renderiza. Sem tradução intermediária.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2.4 Insights cruzados via OpenAI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Cada aba do Vega tem um botão "Gerar insights cruzados". Na implementação real, esse botão dispara um callback Dash que: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Coleta as métricas reais da carteira daquela aba via db/queries.py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Monta um prompt específico com os números da carteira analisada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Chama a API OpenAI (gpt-4o) via insights/generator.py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Renderiza o retorno em cards com badge "IA" — visualmente distintos dos alertas determinísticos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EF3C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92400E"/>
                <w:sz w:val="21"/>
                <w:szCs w:val="21"/>
              </w:rPr>
              <w:t xml:space="preserve">⚠ A LLM nunca calcula valores financeiros — apenas interpreta métricas já calculadas pelo pipeline. Todo valor monetário exibido na UI vem do banco, nunca do modelo de linguagem. A API Key fica em variável de ambiente (OPENAI_API_KEY) — nunca no código.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b/>
          <w:bCs/>
          <w:color w:val="0A2A5F"/>
        </w:rPr>
        <w:t xml:space="preserve">3. Arquitetura do Sistema</w:t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3.1 Visão geral de componentes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O Vega é uma aplicação Python monolítica com quatro camadas internas: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60"/>
      </w:tblGrid>
      <w:tr>
        <w:trPr>
          <w:tblHeader/>
        </w:trPr>
        <w:tc>
          <w:tcPr>
            <w:tcW w:type="dxa" w:w="20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42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  <w:tc>
          <w:tcPr>
            <w:tcW w:type="dxa" w:w="31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Módulo Python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Ingestão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Carregamento da carteira bruta (CSV ou API REST do DA)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vega/ingestion/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Pipeline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Higienização → Segmentação → Scoring → Simulação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vega/pipeline/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Persistência de carteiras, scores e configurações por sessão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vega/db/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Dashboard (Dash)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7 abas analíticas com callbacks, charts e parâmetros interativos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vega/app/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3.2 Fluxo de dados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O fluxo de uma análise de carteira segue 5 etapas sequenciais: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960"/>
        <w:gridCol w:w="2600"/>
      </w:tblGrid>
      <w:tr>
        <w:trPr>
          <w:tblHeader/>
        </w:trPr>
        <w:tc>
          <w:tcPr>
            <w:tcW w:type="dxa" w:w="14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24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Entrada</w:t>
            </w:r>
          </w:p>
        </w:tc>
        <w:tc>
          <w:tcPr>
            <w:tcW w:type="dxa" w:w="29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Saída</w:t>
            </w:r>
          </w:p>
        </w:tc>
        <w:tc>
          <w:tcPr>
            <w:tcW w:type="dxa" w:w="26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1. Ingestão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CSV bruto ou API do sistema de DA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DataFrame pandas normalizado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ingestion/loader.py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2. Higienização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DataFrame bruto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DataFrame limpo + relatório de eliminações por causa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pipeline/higienizacao.py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3. Segmentação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DataFrame limpo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CDAs classificadas por faixa, tributo, PF/PJ, região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pipeline/segmentacao.py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4. Scoring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DataFrame segmentado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DataFrame com 4 dimensões + 2 eixos + quadrante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pipeline/scoring.py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5. Simulação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DataFrame scored + parâmetros de cenário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Projeções de recuperação por cenário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pipeline/simulacao.py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3.3 Estrutura de pastas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Estrutura de diretórios do repositório: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katalyzer-vega/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├── vega/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│   ├── app/                  # Dash app: layout, callbacks, componentes por aba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│   │   ├── tabs/             # tab_diagnostico.py, tab_scoring.py, ...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│   │   ├── components/       # charts.py, tables.py, metrics.py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│   │   └── app.py            # Entry point Dash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│   ├── pipeline/             # Pipeline de análise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│   │   ├── higienizacao.py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│   │   ├── segmentacao.py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│   │   ├── scoring.py        # Score v1 determinístico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│   │   └── simulacao.py      # Projeções de cenário com decay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│   ├── ingestion/            # Carregamento de carteiras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│   │   ├── loader.py         # CSV e API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│   │   └── validators.py     # Validação de schema do CSV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│   ├── db/                   # Acesso ao banco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│   │   ├── connection.py     # get_conn() — psycopg2 connection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│   │   ├── migrations/       # Alembic migrations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│   │   └── queries.py        # SQL puro + pd.read_sql() por aba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│   ├── insights/             # Geração de insights via LLM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│   │   └── generator.py      # OpenAI gpt-4o — prompts por aba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│   └── utils/                # Exportação, formatação, datas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├── tests/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├── docker-compose.yml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├── Dockerfile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├── requirements.txt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└── .env.example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b/>
          <w:bCs/>
          <w:color w:val="0A2A5F"/>
        </w:rPr>
        <w:t xml:space="preserve">4. Banco de Dados</w:t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4.1 Visão geral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O Vega usa um banco PostgreSQL próprio, completamente independente do Órion. O schema principal é vega. Todas as tabelas têm tenant_id para isolamento por cliente municipal analisado — permitindo que múltiplas carteiras coexistam no mesmo banco.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EF3C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92400E"/>
                <w:sz w:val="21"/>
                <w:szCs w:val="21"/>
              </w:rPr>
              <w:t xml:space="preserve">⚠ Foreign keys cross-schema são proibidas — mesma convenção do Órion. Consistência entre tabelas garantida pela camada de aplicação.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4.2 Tabelas principais — visão resumida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A especificação completa de schema, campos e índices está no documento Modelo de Dados do Vega v1.0. Este SAD apresenta a visão estrutural de alto nível.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560"/>
      </w:tblGrid>
      <w:tr>
        <w:trPr>
          <w:tblHeader/>
        </w:trPr>
        <w:tc>
          <w:tcPr>
            <w:tcW w:type="dxa" w:w="28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30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  <w:tc>
          <w:tcPr>
            <w:tcW w:type="dxa" w:w="35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Colunas-chave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vega.carteiras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Registro de cada carteira carregada — metadados e status do pipeline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id, tenant_id, municipio, data_referencia, status_pipeline, parametros_jsonb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vega.cdas_brutas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CDAs originais antes de qualquer processamento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id, carteira_id, numero_cda, contribuinte_id, valor_principal, data_inscricao, tributo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vega.cdas_higienizadas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CDAs após higienização — com flags de eliminação e causa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id, cda_bruta_id, ativa, causa_eliminacao, valor_corrigido, dias_prescricao, prescricao_interrompida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vega.scores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Score calculado por CDA — 4 dimensões + eixos + quadrante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id, cda_id, dim_valor, dim_urgencia, dim_contato, dim_comportamento, eixo_prioridade, eixo_recuperabilidade, quadrante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vega.cohorts_campanha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Histórico de programas de parcelamento e comportamento pós-campanha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id, carteira_id, nome_programa, aderiram, concluiram, quebraram, voltaram_carteira, reabordados_sucesso, perfil_dominante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vega.parametros_sessao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Parâmetros configurados pelo analista (thresholds, faixas, cenários)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id, carteira_id, usuario_id, valor_minimo, threshold_q1_prioridade, threshold_q1_recuperabilidade, parametros_jsonb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vega.snapshots_analise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Snapshot completo de uma análise — base para relatórios e exportações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id, carteira_id, criado_em, metricas_jsonb, insights_jsonb, criado_por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4.3 Multi-tenant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O Vega suporta múltiplos clientes municipais simultaneamente. O isolamento é feito via tenant_id (slug do município) em todas as tabelas de domínio. Não há schemas separados por cliente — um único schema vega com tenant_id em todas as linhas.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Essa decisão simplifica o deploy e as migrations em relação ao modelo schema-per-tenant do Órion, que é mais adequado para isolamento de dados em produção. No Vega, o risco de vazamento entre tenants é mitigado pela camada de aplicação — todos os queries incluem WHERE tenant_id = :tenant_id.</w:t>
      </w:r>
    </w:p>
    <w:p>
      <w:pPr>
        <w:spacing w:after="16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b/>
          <w:bCs/>
          <w:color w:val="0A2A5F"/>
        </w:rPr>
        <w:t xml:space="preserve">5. Pipeline de Análise</w:t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5.1 Etapa 1 — Higienização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A higienização elimina CDAs não operacionais e classifica o motivo da eliminação. Esta classificação é fundamental para o diagnóstico — cada causa implica uma recomendação diferente ao cliente.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rPr>
          <w:tblHeader/>
        </w:trPr>
        <w:tc>
          <w:tcPr>
            <w:tcW w:type="dxa" w:w="32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Critério de eliminação</w:t>
            </w:r>
          </w:p>
        </w:tc>
        <w:tc>
          <w:tcPr>
            <w:tcW w:type="dxa" w:w="20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Causa registrada</w:t>
            </w:r>
          </w:p>
        </w:tc>
        <w:tc>
          <w:tcPr>
            <w:tcW w:type="dxa" w:w="41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Implicação analítica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Idade da CDA &gt;= prazo de prescrição configurado (padrão: 5 anos)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prescricao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Gestão histórica negligente — argumento de urgência para o gestor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Valor principal &lt; valor mínimo configurado (padrão: R$ 50)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irrisorio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Política de inscrição inadequada — CDAs que custam mais para cobrar do que valem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CPF/CNPJ inativo, baixado ou inexistente na base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devedor_inexistente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Problema de cadastro — enriquecimento cadastral necessário antes da operação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CDA com status "parcelamento ativo" ou "protesto ativo" no DA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ja_em_tratamento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Não elimina — flag que impacta o cálculo de prescrição líquida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EF3C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92400E"/>
                <w:sz w:val="21"/>
                <w:szCs w:val="21"/>
              </w:rPr>
              <w:t xml:space="preserve">⚠ A flag ja_em_tratamento não elimina a CDA — ela marca a prescrição como "interrompida". Isso impacta o KPI de prescrição bruta × líquida na Aba 4 (Safra &amp; Aging) e o padrão hachurado no gráfico de aging.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5.2 Etapa 2 — Segmentação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A segmentação classifica as CDAs higienizadas em dimensões analíticas usadas pelas abas 1 (Diagnóstico), 2 (Segmentação) e 5 (Contactabilidade):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Faixa de valor: Até R$ 500 | R$ 500–2k | R$ 2k–10k | R$ 10k–50k | &gt; R$ 50k (configurável via parâmetros_sessao)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Tipo de contribuinte: PF (CPF) | PJ (CNPJ)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Tributo: IPTU | ISS | ITBI | Taxas | Multas | COSIP | Outros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Padrão de densidade: Concentrado (1–3 CDAs por contribuinte) | Médio (4–9) | Pulverizado (10+)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Região/bairro: derivado do endereço do contribuinte — campo livre, normalizado por município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Faixa de idade: &lt; 6m | 6m–1a | 1a–2a | 2a–3a | 3a–4a | 4a–5a (relativa à data de inscrição)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Safra: ano de inscrição — base para análise vintage e decay de recuperação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5.3 Etapa 3 — Scoring (Score v1 Determinístico)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O scoring do Vega deve reproduzir exatamente a mesma lógica do Katalyzer Órion (engine Score, Ruby). Qualquer divergência entre o diagnóstico do Vega e o score operacional do Órion invalida a análise.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Dimensão</w:t>
            </w:r>
          </w:p>
        </w:tc>
        <w:tc>
          <w:tcPr>
            <w:tcW w:type="dxa" w:w="14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Faixa</w:t>
            </w:r>
          </w:p>
        </w:tc>
        <w:tc>
          <w:tcPr>
            <w:tcW w:type="dxa" w:w="57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Lógica de cálculo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dim_valor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0–30 pts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Score progressivo baseado na faixa de valor da CDA. Referência: Até R$500 = 5pts | R$500–2k = 12pts | R$2k–10k = 20pts | R$10k–50k = 26pts | &gt;R$50k = 30pts. Pesos configuráveis via param_slider.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dim_urgencia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0–30 pts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MONOTÔNICA CRESCENTE — quanto mais próximo da prescrição, maior a urgência. Fórmula: (dias_decorridos / dias_prescricao) * 30. Sem pico intermediário — CDAs com 1 dia para prescrever recebem score máximo. CDAs com prescrição interrompida mantêm o score mas são flagadas.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dim_contato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0–25 pts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Qualidade dos dados de contato disponíveis: sem dados = 0 | só endereço = 8 | telefone = 14 | celular/WhatsApp = 20 | celular + WhatsApp + e-mail = 25.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dim_comportamento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0–25 pts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Histórico de relacionamento: sem histórico = 8 | primeiro débito = 10 | parcelou e quebrou = 14 | reincidente que pagou parcialmente = 18 | reincidente que quitou = 25.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Os dois eixos são compostos a partir das 4 dimensões: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Eixo Prioridade do Título (0–60): dim_valor + dim_urgencia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Eixo Recuperabilidade do Contribuinte (0–50): dim_contato + dim_comportamento</w:t>
      </w:r>
    </w:p>
    <w:p>
      <w:pPr>
        <w:spacing w:after="80" w:before="0"/>
      </w:pPr>
      <w:r>
        <w:t xml:space="preserve"/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Os quadrantes da matriz 2×2 são definidos por thresholds absolutos configuráveis via parâmetros_sessao (não por mediana):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Q1 — Ação imediata: Prioridade &gt;= threshold_q1_prioridade (padrão 40) E Recuperabilidade &gt;= threshold_q1_recuperabilidade (padrão 30)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Q2 — Campanha de massa: Prioridade &lt; threshold E Recuperabilidade &gt;= threshold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Q3 — Protesto/Judicial: Prioridade &gt;= threshold E Recuperabilidade &lt; threshold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Q4 — Monitorar: Prioridade &lt; threshold E Recuperabilidade &lt; threshold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EF3C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92400E"/>
                <w:sz w:val="21"/>
                <w:szCs w:val="21"/>
              </w:rPr>
              <w:t xml:space="preserve">⚠ O score é um índice ordinal de priorização — não representa probabilidade de pagamento. dim_contato e dim_comportamento são correlacionadas e somadas linearmente por design. Use para ordenar e segmentar, não para projetar taxas de conversão individuais.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5.4 Etapa 4 — Simulação de Cenários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A simulação projeta a recuperação potencial para 3 cenários (Conservador, Moderado, Agressivo) usando curvas de decay mensal.</w:t>
      </w:r>
    </w:p>
    <w:p>
      <w:pPr>
        <w:spacing w:after="80" w:before="0"/>
      </w:pPr>
      <w:r>
        <w:t xml:space="preserve"/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Função de decay de referência (parâmetros de mercado — não calibrados):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recuperacao_mes(n) = valor_alvo * (1 - e^(-rate * n))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Rates de referência: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Conservador: rate = 0.9  (atinge plateau rápido, payback M2)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Moderado:    rate = 0.55 (equilíbrio risco/retorno, payback M3)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Agressivo:   rate = 0.38 (crescimento lento, payback M4)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D97706"/>
                <w:sz w:val="18"/>
                <w:szCs w:val="18"/>
              </w:rPr>
              <w:t xml:space="preserve">⚠ CRÍTICO: Estes rates são referências de mercado.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Para calibração com dados reais, use os dados de decay de safra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da Aba 4 (Decay de recuperação por safra) e ajuste os rates no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parâmetro decay_rates da tabela parametros_sessao.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A elasticidade de desconto é calculada como: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Taxa de adesão(d) = adesao_base * (1 - e^(-0.05 * d))  — curva saturante crescente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Valor líquido(d) = valor_alvo * (taxa_adesao(d) / 100) * (1 - d * fator_desconto)  — curva em U invertido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O desconto ótimo é o valor de d que maximiza valor_liquido(d) — tipicamente 25–30%</w:t>
      </w:r>
    </w:p>
    <w:p>
      <w:pPr>
        <w:spacing w:after="16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b/>
          <w:bCs/>
          <w:color w:val="0A2A5F"/>
        </w:rPr>
        <w:t xml:space="preserve">6. Deploy e Infraestrutura</w:t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6.1 docker-compose.yml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services: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vega-app: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build: 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command: gunicorn vega.app.app:server -b 0.0.0.0:8050 --workers 4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ports: ["8050:8050"]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environment: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- DATABASE_URL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- SECRET_KEY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- DEMO_MODE=false    # true = dados mockados, false = dados reais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- LOG_LEVEL=INFO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depends_on: [postgres]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postgres: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image: postgres:15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volumes: ["pg_data:/var/lib/postgresql/data"]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environment: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- POSTGRES_DB=katalyzer_vega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- POSTGRES_USER=vega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- POSTGRES_PASSWORD=${POSTGRES_PASSWORD}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volumes: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pg_data: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6.2 Variáveis de ambiente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600"/>
        <w:gridCol w:w="1560"/>
      </w:tblGrid>
      <w:tr>
        <w:trPr>
          <w:tblHeader/>
        </w:trPr>
        <w:tc>
          <w:tcPr>
            <w:tcW w:type="dxa" w:w="32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tcW w:type="dxa" w:w="46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Sensível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String de conexão PostgreSQL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Sim — não commitar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SECRET_KEY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Chave de sessão Flask/Dash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Sim — não commitar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DEMO_MODE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true = dados mockados | false = dados reais da carteira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LOG_LEVEL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DEBUG | INFO | WARNING | ERROR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POSTGRES_PASSWORD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Senha do banco PostgreSQL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Sim — não commitar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6.3 Estratégia de deploy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O Vega é uma ferramenta interna sem requisitos de alta disponibilidade. A estratégia de deploy é simples: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Desenvolvimento local: Docker Compose na máquina do analista de dados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Staging/Produção interna: Railway ou Render — PaaS sem overhead de Kubernetes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Banco de dados: PostgreSQL gerenciado pelo Railway/Render (não compartilhado com o Órion)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HTTPS: gerenciado pelo PaaS — sem configuração manual de Nginx/TLS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Autenticação: basic auth por usuário — time interno apenas, sem OAuth</w:t>
      </w:r>
    </w:p>
    <w:p>
      <w:pPr>
        <w:spacing w:after="16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b/>
          <w:bCs/>
          <w:color w:val="0A2A5F"/>
        </w:rPr>
        <w:t xml:space="preserve">7. Autenticação e Acesso</w:t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7.1 Modelo de autenticação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O Vega usa autenticação simples baseada em sessão, adequada para uma ferramenta interna com número reduzido de usuários. Não há integração com OAuth, SSO ou o sistema de auth do Órion.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00"/>
        <w:gridCol w:w="2360"/>
      </w:tblGrid>
      <w:tr>
        <w:trPr>
          <w:tblHeader/>
        </w:trPr>
        <w:tc>
          <w:tcPr>
            <w:tcW w:type="dxa" w:w="24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  <w:tc>
          <w:tcPr>
            <w:tcW w:type="dxa" w:w="46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23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Analista de dados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Leitura e análise de todas as carteiras carregadas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Cientista de dados, analista de cobrança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Tudo do analista + carregamento de novas carteiras + gestão de usuários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Tech lead, Catulo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7.2 Isolamento de carteiras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Embora a autenticação seja simples, o isolamento de carteiras por cliente municipal é crítico. Um analista não deve visualizar dados de um município diferente do que está analisando. O isolamento é garantido por: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Seleção de carteira no início de cada sessão analítica — interface de "Abrir carteira"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Todas as queries incluem WHERE carteira_id = :carteira_id filtrado pela sessão ativa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Não há visão cruzada entre carteiras de clientes diferentes na mesma tela</w:t>
      </w:r>
    </w:p>
    <w:p>
      <w:pPr>
        <w:spacing w:after="16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b/>
          <w:bCs/>
          <w:color w:val="0A2A5F"/>
        </w:rPr>
        <w:t xml:space="preserve">8. Regras de Negócio Críticas</w:t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8.1 Regras que não podem ser alteradas sem alinhamento</w:t>
      </w:r>
    </w:p>
    <w:p>
      <w:pPr>
        <w:spacing w:after="80" w:before="40"/>
      </w:pPr>
      <w:r>
        <w:rPr>
          <w:color w:val="1A1A1A"/>
          <w:sz w:val="22"/>
          <w:szCs w:val="22"/>
        </w:rPr>
        <w:t xml:space="preserve">As regras abaixo são decisões de produto consolidadas. Qualquer alteração deve ser alinhada com o tech lead antes de implementar.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600"/>
        <w:gridCol w:w="3560"/>
      </w:tblGrid>
      <w:tr>
        <w:trPr>
          <w:tblHeader/>
        </w:trPr>
        <w:tc>
          <w:tcPr>
            <w:tcW w:type="dxa" w:w="12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46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35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RN-01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dim_urgencia é monotônica crescente — sem pico intermediário. Quanto mais próximo da prescrição, maior o score.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Função triangular com pico em 4 anos foi identificada como erro conceitual — penaliza CDAs mais urgentes.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RN-02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Thresholds de Q1 são absolutos, não relativos à mediana. Padrão: Prioridade &gt;= 40 e Recuperabilidade &gt;= 30.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Threshold por mediana faz Q1 mudar de tamanho conforme a carteira — impossibilita comparação entre carteiras.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RN-03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Prescrição bruta e prescrição líquida devem ser exibidas separadamente. Líquida = bruta menos CDAs com prescrição interrompida.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CDAs com protesto ou parcelamento ativo têm prescrição legalmente interrompida — incluí-las no cômputo de urgência gera trabalho operacional desnecessário.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RN-04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O funil de higienização deve exibir o estoque morto decomposto por causa (prescrição, irrisório, devedor inexistente).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Cada causa implica uma recomendação diferente ao cliente — agregar esconde o diagnóstico real.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RN-05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O score é um índice ordinal — não exibir como probabilidade de pagamento em nenhuma interface.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dim_contato e dim_comportamento são correlacionadas e somadas linearmente — o valor absoluto não tem interpretação probabilística.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RN-06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Curvas de decay devem ser declaradas como referência até calibração explícita com dados da Aba 4.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Projeções com rates de mercado usadas em propostas comerciais sem calibração resultam em promessas não cumpridas.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RN-07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Contribuinte com mais de 10% da carteira ativa deve disparar alerta de concentração de risco automaticamente.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Uma única negociação altera materialmente qualquer projeção agregada — o analista precisa saber disso antes de apresentar cenários.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RN-08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Ações sugeridas (NBA) são sugestões determinísticas — nunca exibir como prescrições ou obrigações operacionais.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A lógica NBA é derivada de regras (quadrante + contactabilidade + reincidência + valor) — não substitui o julgamento do analista.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b/>
          <w:bCs/>
          <w:color w:val="0A2A5F"/>
        </w:rPr>
        <w:t xml:space="preserve">9. Architecture Decision Records (ADRs)</w:t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ADR-W-001 — Dash em vez de Streamlit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Aceito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Contexto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Time de dados precisava de uma ferramenta de diagnóstico multi-usuário com estado isolado por sessão.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Decisão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Dash (Plotly) em vez de Streamlit. Dash tem modelo de callback explícito, suporte a multi-usuário real e deploy PaaS robusto.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Alternativas rejeitadas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Streamlit: re-executa script inteiro a cada interação; sem suporte nativo a multi-usuário com estado isolado.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Consequências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Curva de aprendizado de Dash é maior que Streamlit. Mitigação: documentar padrão de callbacks no CLAUDE.md.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ADR-W-002 — PostgreSQL próprio, schema único com tenant_id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Aceito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Contexto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Vega precisa isolar carteiras de múltiplos municípios simultaneamente.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Decisão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Schema único (vega) com tenant_id em todas as tabelas. Não reutilizar o PostgreSQL do Órion.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Alternativas rejeitadas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Schema-per-tenant (modelo do Órion): overhead excessivo de migrations para uma ferramenta interna. DuckDB: avaliado e rejeitado — sem suporte a multi-usuário cloud e sem row-level security nativa.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Consequências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Todas as queries devem incluir WHERE carteira_id = :carteira_id. Responsabilidade da camada de aplicação.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ADR-W-003 — Parâmetros de cenário como referência, não calibração automática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Aceito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Contexto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As curvas de decay nas projeções de cenário precisam de parâmetros. Calibração automática requer histórico de operações reais.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Decisão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Parâmetros de referência de mercado no MVP. Calibração com dados da Aba 4 é manual — analista extrai o decay real das safras e ajusta os rates.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Alternativas rejeitadas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Calibração automática: requer dados de conversão real que ainda não existem para novos clientes.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Consequências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A UI deve declarar explicitamente que as curvas são referência até calibração. Nenhuma projeção de cenário deve ser usada em proposta comercial sem calibração prévia.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b/>
          <w:bCs/>
          <w:color w:val="0A2A5F"/>
        </w:rPr>
        <w:t xml:space="preserve">10. Limitações Conhecidas e Próximos Passos</w:t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10.1 Limitações do Score v1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dim_contato e dim_comportamento são correlacionadas e somadas linearmente — subestima contribuintes com histórico bom mas dados desatualizados.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Não há proxy de capacidade de pagamento (atividade do CNPJ, existência de imóveis, faturamento estimado) — a diferença entre Q3 "incontactável" e Q3 "insolvente" é invisível.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color w:val="1A1A1A"/>
          <w:sz w:val="22"/>
          <w:szCs w:val="22"/>
        </w:rPr>
        <w:t xml:space="preserve">Score v2 (LightGBM supervisionado) substituirá dim_contato e dim_comportamento por probabilidades aprendidas após acúmulo de dados operacionais do Órion.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  <w:color w:val="7B2CBF"/>
        </w:rPr>
        <w:t xml:space="preserve">10.2 Roadmap de evolução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2360"/>
      </w:tblGrid>
      <w:tr>
        <w:trPr>
          <w:tblHeader/>
        </w:trPr>
        <w:tc>
          <w:tcPr>
            <w:tcW w:type="dxa" w:w="26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44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3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Dependência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Score v2 — LightGBM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Substituir dimensões determinísticas por modelo treinado com dados reais de conversão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Dados operacionais do Órion — mínimo 6 meses de operação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Calibração automática de decay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Calcular rates de decay a partir do histórico real de safras da carteira analisada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Dados históricos de recuperação por safra disponíveis no CSV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Integração direta com API do DA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Puxar carteira bruta diretamente do sistema de DA via API REST — eliminar etapa de upload CSV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Documentação da API do sistema de DA do cliente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Capacidade de pagamento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Adicionar proxy de capacidade (CNPJ ativo/baixado, imóveis em nome) via enriquecimento cadastral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color w:val="1A1A1A"/>
                <w:sz w:val="20"/>
                <w:szCs w:val="20"/>
              </w:rPr>
              <w:t xml:space="preserve">Integração com Serpro/Neoway/Assertiva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0" w:before="0"/>
        <w:jc w:val="center"/>
      </w:pPr>
      <w:r>
        <w:rPr>
          <w:rFonts w:ascii="Poppins" w:cs="Poppins" w:eastAsia="Poppins" w:hAnsi="Poppins"/>
          <w:color w:val="6B7280"/>
          <w:sz w:val="18"/>
          <w:szCs w:val="18"/>
        </w:rPr>
        <w:t xml:space="preserve">© 2026 Katalyzer Tecnologia Ltda. · SAD Vega v1.0 · Documento técnico restrito à equipe de desenvolvimento.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2" w:space="4"/>
      </w:pBdr>
      <w:spacing w:after="0" w:before="40"/>
    </w:pPr>
  </w:p>
  <w:p>
    <w:pPr>
      <w:tabs>
        <w:tab w:val="right" w:pos="9026"/>
      </w:tabs>
      <w:spacing w:after="0" w:before="0"/>
    </w:pPr>
    <w:r>
      <w:rPr>
        <w:rFonts w:ascii="Poppins" w:cs="Poppins" w:eastAsia="Poppins" w:hAnsi="Poppins"/>
        <w:color w:val="6B7280"/>
        <w:sz w:val="16"/>
        <w:szCs w:val="16"/>
      </w:rPr>
      <w:t xml:space="preserve">Katalyzer Tecnologia Ltda. · CNPJ 59.357.357/0001-74 · Abril 2026</w:t>
    </w:r>
    <w:r>
      <w:rPr>
        <w:rFonts w:ascii="Poppins" w:cs="Poppins" w:eastAsia="Poppins" w:hAnsi="Poppins"/>
        <w:sz w:val="16"/>
        <w:szCs w:val="16"/>
      </w:rPr>
      <w:t xml:space="preserve">	</w:t>
    </w:r>
    <w:r>
      <w:rPr>
        <w:rFonts w:ascii="Poppins" w:cs="Poppins" w:eastAsia="Poppins" w:hAnsi="Poppins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8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000"/>
      <w:gridCol w:w="4080"/>
    </w:tblGrid>
    <w:tr>
      <w:tc>
        <w:tcPr>
          <w:tcW w:type="dxa" w:w="6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 w:before="0"/>
          </w:pPr>
          <w:r>
            <w:rPr>
              <w:rFonts w:ascii="Sora" w:cs="Sora" w:eastAsia="Sora" w:hAnsi="Sora"/>
              <w:b/>
              <w:bCs/>
              <w:color w:val="0A2A5F"/>
              <w:sz w:val="22"/>
              <w:szCs w:val="22"/>
            </w:rPr>
            <w:t xml:space="preserve">KATALYZER WORKBENCH</w:t>
          </w:r>
          <w:r>
            <w:rPr>
              <w:rFonts w:ascii="Poppins" w:cs="Poppins" w:eastAsia="Poppins" w:hAnsi="Poppins"/>
              <w:color w:val="6B7280"/>
              <w:sz w:val="20"/>
              <w:szCs w:val="20"/>
            </w:rPr>
            <w:t xml:space="preserve">  ·  SAD v1.0</w:t>
          </w:r>
        </w:p>
      </w:tc>
      <w:tc>
        <w:tcPr>
          <w:tcW w:type="dxa" w:w="40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 w:before="0"/>
            <w:jc w:val="right"/>
          </w:pPr>
          <w:r>
            <w:rPr>
              <w:rFonts w:ascii="Poppins" w:cs="Poppins" w:eastAsia="Poppins" w:hAnsi="Poppins"/>
              <w:color w:val="6B7280"/>
              <w:sz w:val="18"/>
              <w:szCs w:val="18"/>
            </w:rPr>
            <w:t xml:space="preserve">Konfidencial · Katalyzer Tecnologia</w:t>
          </w:r>
        </w:p>
      </w:tc>
    </w:tr>
  </w:tbl>
  <w:p>
    <w:pPr>
      <w:pBdr>
        <w:bottom w:val="single" w:color="0A2A5F" w:sz="4" w:space="4"/>
      </w:pBdr>
      <w:spacing w:after="0" w:before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Sora" w:cs="Sora" w:eastAsia="Sora" w:hAnsi="Sora"/>
      <w:b/>
      <w:bCs/>
      <w:color w:val="0A2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Sora" w:cs="Sora" w:eastAsia="Sora" w:hAnsi="Sora"/>
      <w:b/>
      <w:bCs/>
      <w:color w:val="7B2CB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2026-04-16T18:50:59.018Z</dcterms:created>
  <dcterms:modified xsi:type="dcterms:W3CDTF">2026-04-16T18:50:59.019Z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