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Desde la plataforma de GitHub crea dos nuevos archivos en la carpeta templates del proyecto llamados “galery_store.html” y “galery_cms.html”. Básate en el código del archivo “galery_blog.html”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133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1676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Crea una nueva rama del proyecto llamada templates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</w:rPr>
        <w:drawing>
          <wp:inline distB="114300" distT="114300" distL="114300" distR="114300">
            <wp:extent cx="2733675" cy="12001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Clona únicamente la rama templates del proyecto en tu máquina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172814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-5607" r="0" t="-1463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2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Modifica el tamaño de la fuente del título principal en style.css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2858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Guarda la modificación con un commit y mover la etiqueta de modificación del style.css a este último commit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8f9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Realiza un push para actualizar el repositorio remoto y hacer otro para subir la etiqueta modificada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8f9fa" w:val="clear"/>
        <w:spacing w:after="240" w:lineRule="auto"/>
        <w:ind w:left="720" w:hanging="360"/>
        <w:rPr>
          <w:rFonts w:ascii="Roboto" w:cs="Roboto" w:eastAsia="Roboto" w:hAnsi="Roboto"/>
          <w:color w:val="1d2125"/>
          <w:sz w:val="23"/>
          <w:szCs w:val="23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38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14763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Desde la plataforma de GitHub busca la opción de pull request y fusiona la rama templates con main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571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971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8f9fa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rtl w:val="0"/>
        </w:rPr>
        <w:t xml:space="preserve">Mostrar el merge cerrado de la rama templates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952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d212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