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pPr>
      <w:r w:rsidDel="00000000" w:rsidR="00000000" w:rsidRPr="00000000">
        <w:rPr/>
        <w:drawing>
          <wp:inline distB="114300" distT="114300" distL="114300" distR="114300">
            <wp:extent cx="546100" cy="533400"/>
            <wp:effectExtent b="0" l="0" r="0" t="0"/>
            <wp:docPr descr="080c435726a7b0e9f3c6d1c547e516bc.png" id="1" name="image1.png"/>
            <a:graphic>
              <a:graphicData uri="http://schemas.openxmlformats.org/drawingml/2006/picture">
                <pic:pic>
                  <pic:nvPicPr>
                    <pic:cNvPr descr="080c435726a7b0e9f3c6d1c547e516bc.png" id="0" name="image1.png"/>
                    <pic:cNvPicPr preferRelativeResize="0"/>
                  </pic:nvPicPr>
                  <pic:blipFill>
                    <a:blip r:embed="rId6"/>
                    <a:srcRect b="0" l="0" r="0" t="0"/>
                    <a:stretch>
                      <a:fillRect/>
                    </a:stretch>
                  </pic:blipFill>
                  <pic:spPr>
                    <a:xfrm>
                      <a:off x="0" y="0"/>
                      <a:ext cx="5461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FEDERAL DE MATO GROSSO – UFMT</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DE CUIABÁ</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 CURSO DE ADMINISTRAÇÃO</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Cauã Carlos</w:t>
      </w:r>
    </w:p>
    <w:p w:rsidR="00000000" w:rsidDel="00000000" w:rsidP="00000000" w:rsidRDefault="00000000" w:rsidRPr="00000000" w14:paraId="0000000B">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Emanuelly Pinheiro</w:t>
      </w:r>
    </w:p>
    <w:p w:rsidR="00000000" w:rsidDel="00000000" w:rsidP="00000000" w:rsidRDefault="00000000" w:rsidRPr="00000000" w14:paraId="0000000C">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Eduarda Perez</w:t>
      </w:r>
    </w:p>
    <w:p w:rsidR="00000000" w:rsidDel="00000000" w:rsidP="00000000" w:rsidRDefault="00000000" w:rsidRPr="00000000" w14:paraId="0000000D">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Rafaela Fontes</w:t>
      </w:r>
    </w:p>
    <w:p w:rsidR="00000000" w:rsidDel="00000000" w:rsidP="00000000" w:rsidRDefault="00000000" w:rsidRPr="00000000" w14:paraId="0000000E">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Yasmin Iara </w:t>
      </w:r>
    </w:p>
    <w:p w:rsidR="00000000" w:rsidDel="00000000" w:rsidP="00000000" w:rsidRDefault="00000000" w:rsidRPr="00000000" w14:paraId="0000000F">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ADMINISTRAÇÃO COMUNICAÇÃO INTEGRADA AO MARKETING:</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 DE CASO: RED BULL ENERGY DRINK</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Cuiabá – MT</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ADMINISTRAÇÃO COMUNICAÇÃO INTEGRADA AO MARKETING:</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 DE CASO: RED BULL ENERGY DRINK</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ind w:left="42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before="200" w:lineRule="auto"/>
        <w:ind w:left="42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ind w:left="424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apresentado à Universidade Federal de Mato Grosso (UFMT), como requisito parcial para obtenção de nota na disciplina de Comunicação Integrada ao Marketing.</w:t>
      </w:r>
    </w:p>
    <w:p w:rsidR="00000000" w:rsidDel="00000000" w:rsidP="00000000" w:rsidRDefault="00000000" w:rsidRPr="00000000" w14:paraId="0000003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Paulo Augusto Ramalho de Souza </w:t>
      </w:r>
    </w:p>
    <w:p w:rsidR="00000000" w:rsidDel="00000000" w:rsidP="00000000" w:rsidRDefault="00000000" w:rsidRPr="00000000" w14:paraId="0000003A">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Cuiabá – MT</w:t>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Escolha uma organização real</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 Bull Energy Drink</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Definição do Produto, Serviço e Mercado</w:t>
      </w:r>
    </w:p>
    <w:p w:rsidR="00000000" w:rsidDel="00000000" w:rsidP="00000000" w:rsidRDefault="00000000" w:rsidRPr="00000000" w14:paraId="00000049">
      <w:pPr>
        <w:numPr>
          <w:ilvl w:val="0"/>
          <w:numId w:val="3"/>
        </w:numPr>
        <w:spacing w:after="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Produto:</w:t>
      </w:r>
      <w:r w:rsidDel="00000000" w:rsidR="00000000" w:rsidRPr="00000000">
        <w:rPr>
          <w:rFonts w:ascii="Times New Roman" w:cs="Times New Roman" w:eastAsia="Times New Roman" w:hAnsi="Times New Roman"/>
          <w:sz w:val="24"/>
          <w:szCs w:val="24"/>
          <w:rtl w:val="0"/>
        </w:rPr>
        <w:t xml:space="preserve"> Bebida energética funcional com cafeína, taurina e vitaminas do complexo B com versões sem açúcar e de diversos sabores.</w:t>
      </w:r>
      <w:r w:rsidDel="00000000" w:rsidR="00000000" w:rsidRPr="00000000">
        <w:rPr>
          <w:rtl w:val="0"/>
        </w:rPr>
      </w:r>
    </w:p>
    <w:p w:rsidR="00000000" w:rsidDel="00000000" w:rsidP="00000000" w:rsidRDefault="00000000" w:rsidRPr="00000000" w14:paraId="0000004A">
      <w:pPr>
        <w:numPr>
          <w:ilvl w:val="0"/>
          <w:numId w:val="3"/>
        </w:numPr>
        <w:spacing w:after="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Serviço:</w:t>
      </w:r>
      <w:r w:rsidDel="00000000" w:rsidR="00000000" w:rsidRPr="00000000">
        <w:rPr>
          <w:rFonts w:ascii="Times New Roman" w:cs="Times New Roman" w:eastAsia="Times New Roman" w:hAnsi="Times New Roman"/>
          <w:sz w:val="24"/>
          <w:szCs w:val="24"/>
          <w:rtl w:val="0"/>
        </w:rPr>
        <w:t xml:space="preserve"> Venda de bebidas energéticas, produção de conteúdo de mídia (Red Bull Media House), organização e patrocínio de eventos esportivos e culturais extremizados.</w:t>
      </w:r>
      <w:r w:rsidDel="00000000" w:rsidR="00000000" w:rsidRPr="00000000">
        <w:rPr>
          <w:rtl w:val="0"/>
        </w:rPr>
      </w:r>
    </w:p>
    <w:p w:rsidR="00000000" w:rsidDel="00000000" w:rsidP="00000000" w:rsidRDefault="00000000" w:rsidRPr="00000000" w14:paraId="0000004B">
      <w:pPr>
        <w:numPr>
          <w:ilvl w:val="0"/>
          <w:numId w:val="3"/>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Mercado:</w:t>
      </w:r>
      <w:r w:rsidDel="00000000" w:rsidR="00000000" w:rsidRPr="00000000">
        <w:rPr>
          <w:rFonts w:ascii="Times New Roman" w:cs="Times New Roman" w:eastAsia="Times New Roman" w:hAnsi="Times New Roman"/>
          <w:sz w:val="24"/>
          <w:szCs w:val="24"/>
          <w:rtl w:val="0"/>
        </w:rPr>
        <w:t xml:space="preserve"> Bebidas não alcoólicas / Energéticos (RTD - Ready to Drink), além dos setores de mídia, entretenimento esportivo e eSports.</w:t>
      </w:r>
      <w:r w:rsidDel="00000000" w:rsidR="00000000" w:rsidRPr="00000000">
        <w:rPr>
          <w:rtl w:val="0"/>
        </w:rPr>
      </w:r>
    </w:p>
    <w:p w:rsidR="00000000" w:rsidDel="00000000" w:rsidP="00000000" w:rsidRDefault="00000000" w:rsidRPr="00000000" w14:paraId="0000004C">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Evidências e Hipóteses</w:t>
      </w:r>
    </w:p>
    <w:p w:rsidR="00000000" w:rsidDel="00000000" w:rsidP="00000000" w:rsidRDefault="00000000" w:rsidRPr="00000000" w14:paraId="0000004E">
      <w:pPr>
        <w:numPr>
          <w:ilvl w:val="0"/>
          <w:numId w:val="1"/>
        </w:numPr>
        <w:spacing w:after="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r w:rsidDel="00000000" w:rsidR="00000000" w:rsidRPr="00000000">
        <w:rPr>
          <w:rtl w:val="0"/>
        </w:rPr>
      </w:r>
    </w:p>
    <w:p w:rsidR="00000000" w:rsidDel="00000000" w:rsidP="00000000" w:rsidRDefault="00000000" w:rsidRPr="00000000" w14:paraId="0000004F">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Liderança de </w:t>
      </w:r>
      <w:r w:rsidDel="00000000" w:rsidR="00000000" w:rsidRPr="00000000">
        <w:rPr>
          <w:rFonts w:ascii="Times New Roman" w:cs="Times New Roman" w:eastAsia="Times New Roman" w:hAnsi="Times New Roman"/>
          <w:i w:val="1"/>
          <w:iCs w:val="1"/>
          <w:sz w:val="24"/>
          <w:szCs w:val="24"/>
          <w:rtl w:val="0"/>
        </w:rPr>
        <w:t xml:space="preserve">market share</w:t>
      </w:r>
      <w:r w:rsidDel="00000000" w:rsidR="00000000" w:rsidRPr="00000000">
        <w:rPr>
          <w:rFonts w:ascii="Times New Roman" w:cs="Times New Roman" w:eastAsia="Times New Roman" w:hAnsi="Times New Roman"/>
          <w:sz w:val="24"/>
          <w:szCs w:val="24"/>
          <w:rtl w:val="0"/>
        </w:rPr>
        <w:t xml:space="preserve"> global no segmento de energéticos.</w:t>
      </w:r>
    </w:p>
    <w:p w:rsidR="00000000" w:rsidDel="00000000" w:rsidP="00000000" w:rsidRDefault="00000000" w:rsidRPr="00000000" w14:paraId="00000050">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Presença massiva em esportes radicais, Fórmula 1 (Red Bull Racing) e eSports.</w:t>
      </w:r>
    </w:p>
    <w:p w:rsidR="00000000" w:rsidDel="00000000" w:rsidP="00000000" w:rsidRDefault="00000000" w:rsidRPr="00000000" w14:paraId="00000051">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Preço praticado acima da média dos concorrentes (</w:t>
      </w:r>
      <w:r w:rsidDel="00000000" w:rsidR="00000000" w:rsidRPr="00000000">
        <w:rPr>
          <w:rFonts w:ascii="Times New Roman" w:cs="Times New Roman" w:eastAsia="Times New Roman" w:hAnsi="Times New Roman"/>
          <w:i w:val="1"/>
          <w:iCs w:val="1"/>
          <w:sz w:val="24"/>
          <w:szCs w:val="24"/>
          <w:rtl w:val="0"/>
        </w:rPr>
        <w:t xml:space="preserve">premium pricing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1"/>
        </w:numPr>
        <w:spacing w:after="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Hipóteses:</w:t>
      </w:r>
      <w:r w:rsidDel="00000000" w:rsidR="00000000" w:rsidRPr="00000000">
        <w:rPr>
          <w:rtl w:val="0"/>
        </w:rPr>
      </w:r>
    </w:p>
    <w:p w:rsidR="00000000" w:rsidDel="00000000" w:rsidP="00000000" w:rsidRDefault="00000000" w:rsidRPr="00000000" w14:paraId="00000054">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pagam mais pelo estilo de vida associado à marca do que pelos ingredientes do produto.</w:t>
      </w:r>
    </w:p>
    <w:p w:rsidR="00000000" w:rsidDel="00000000" w:rsidP="00000000" w:rsidRDefault="00000000" w:rsidRPr="00000000" w14:paraId="00000055">
      <w:pPr>
        <w:numPr>
          <w:ilvl w:val="0"/>
          <w:numId w:val="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ecossistema de conteúdo gera alcance orgânico suficiente para reduzir a dependência de publicidade tradicional.</w:t>
      </w:r>
    </w:p>
    <w:p w:rsidR="00000000" w:rsidDel="00000000" w:rsidP="00000000" w:rsidRDefault="00000000" w:rsidRPr="00000000" w14:paraId="00000056">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Problema de Comunicação</w:t>
      </w:r>
    </w:p>
    <w:p w:rsidR="00000000" w:rsidDel="00000000" w:rsidP="00000000" w:rsidRDefault="00000000" w:rsidRPr="00000000" w14:paraId="00000058">
      <w:pPr>
        <w:numPr>
          <w:ilvl w:val="0"/>
          <w:numId w:val="6"/>
        </w:numPr>
        <w:spacing w:after="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Desafio Central:</w:t>
      </w:r>
      <w:r w:rsidDel="00000000" w:rsidR="00000000" w:rsidRPr="00000000">
        <w:rPr>
          <w:rFonts w:ascii="Times New Roman" w:cs="Times New Roman" w:eastAsia="Times New Roman" w:hAnsi="Times New Roman"/>
          <w:sz w:val="24"/>
          <w:szCs w:val="24"/>
          <w:rtl w:val="0"/>
        </w:rPr>
        <w:t xml:space="preserve"> A saturação do ecossistema de alta adrenalina e a mudança nas preferências de consumo de jovens adultos.</w:t>
      </w:r>
      <w:r w:rsidDel="00000000" w:rsidR="00000000" w:rsidRPr="00000000">
        <w:rPr>
          <w:rtl w:val="0"/>
        </w:rPr>
      </w:r>
    </w:p>
    <w:p w:rsidR="00000000" w:rsidDel="00000000" w:rsidP="00000000" w:rsidRDefault="00000000" w:rsidRPr="00000000" w14:paraId="00000059">
      <w:pPr>
        <w:numPr>
          <w:ilvl w:val="0"/>
          <w:numId w:val="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Tensão:</w:t>
      </w:r>
      <w:r w:rsidDel="00000000" w:rsidR="00000000" w:rsidRPr="00000000">
        <w:rPr>
          <w:rFonts w:ascii="Times New Roman" w:cs="Times New Roman" w:eastAsia="Times New Roman" w:hAnsi="Times New Roman"/>
          <w:sz w:val="24"/>
          <w:szCs w:val="24"/>
          <w:rtl w:val="0"/>
        </w:rPr>
        <w:t xml:space="preserve"> O foco histórico em esportes radicais e energia extrema pode afastar consumidores funcionais (estudantes, profissionais em trabalho remoto) que buscam foco e bem-estar sem a estética agitada dos esportes radicais que a marca da Red Bull incentiva.</w:t>
      </w:r>
      <w:r w:rsidDel="00000000" w:rsidR="00000000" w:rsidRPr="00000000">
        <w:rPr>
          <w:rtl w:val="0"/>
        </w:rPr>
      </w:r>
    </w:p>
    <w:p w:rsidR="00000000" w:rsidDel="00000000" w:rsidP="00000000" w:rsidRDefault="00000000" w:rsidRPr="00000000" w14:paraId="0000005A">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Público-Alvo e Persona</w:t>
      </w:r>
    </w:p>
    <w:p w:rsidR="00000000" w:rsidDel="00000000" w:rsidP="00000000" w:rsidRDefault="00000000" w:rsidRPr="00000000" w14:paraId="0000005E">
      <w:pPr>
        <w:numPr>
          <w:ilvl w:val="0"/>
          <w:numId w:val="4"/>
        </w:numPr>
        <w:spacing w:after="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Perfil Demográfico:</w:t>
      </w:r>
      <w:r w:rsidDel="00000000" w:rsidR="00000000" w:rsidRPr="00000000">
        <w:rPr>
          <w:rFonts w:ascii="Times New Roman" w:cs="Times New Roman" w:eastAsia="Times New Roman" w:hAnsi="Times New Roman"/>
          <w:sz w:val="24"/>
          <w:szCs w:val="24"/>
          <w:rtl w:val="0"/>
        </w:rPr>
        <w:t xml:space="preserve"> Jovens e adultos de 18 a 45 anos, estudantes, atletas amadores, </w:t>
      </w:r>
      <w:r w:rsidDel="00000000" w:rsidR="00000000" w:rsidRPr="00000000">
        <w:rPr>
          <w:rFonts w:ascii="Times New Roman" w:cs="Times New Roman" w:eastAsia="Times New Roman" w:hAnsi="Times New Roman"/>
          <w:i w:val="1"/>
          <w:iCs w:val="1"/>
          <w:sz w:val="24"/>
          <w:szCs w:val="24"/>
          <w:rtl w:val="0"/>
        </w:rPr>
        <w:t xml:space="preserve">gamers</w:t>
      </w:r>
      <w:r w:rsidDel="00000000" w:rsidR="00000000" w:rsidRPr="00000000">
        <w:rPr>
          <w:rFonts w:ascii="Times New Roman" w:cs="Times New Roman" w:eastAsia="Times New Roman" w:hAnsi="Times New Roman"/>
          <w:sz w:val="24"/>
          <w:szCs w:val="24"/>
          <w:rtl w:val="0"/>
        </w:rPr>
        <w:t xml:space="preserve"> e profissionais dinâmicos.</w:t>
      </w:r>
      <w:r w:rsidDel="00000000" w:rsidR="00000000" w:rsidRPr="00000000">
        <w:rPr>
          <w:rtl w:val="0"/>
        </w:rPr>
      </w:r>
    </w:p>
    <w:p w:rsidR="00000000" w:rsidDel="00000000" w:rsidP="00000000" w:rsidRDefault="00000000" w:rsidRPr="00000000" w14:paraId="0000005F">
      <w:pPr>
        <w:numPr>
          <w:ilvl w:val="0"/>
          <w:numId w:val="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Perfil Psicográfico:</w:t>
      </w:r>
      <w:r w:rsidDel="00000000" w:rsidR="00000000" w:rsidRPr="00000000">
        <w:rPr>
          <w:rFonts w:ascii="Times New Roman" w:cs="Times New Roman" w:eastAsia="Times New Roman" w:hAnsi="Times New Roman"/>
          <w:sz w:val="24"/>
          <w:szCs w:val="24"/>
          <w:rtl w:val="0"/>
        </w:rPr>
        <w:t xml:space="preserve"> Pessoas focadas em performance, alto rendimento, busca por experiências intensas e otimização do tempo. </w:t>
      </w:r>
      <w:r w:rsidDel="00000000" w:rsidR="00000000" w:rsidRPr="00000000">
        <w:rPr>
          <w:rtl w:val="0"/>
        </w:rPr>
      </w:r>
    </w:p>
    <w:p w:rsidR="00000000" w:rsidDel="00000000" w:rsidP="00000000" w:rsidRDefault="00000000" w:rsidRPr="00000000" w14:paraId="00000060">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Jornada do Consumidor</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3090"/>
        <w:gridCol w:w="3720"/>
        <w:tblGridChange w:id="0">
          <w:tblGrid>
            <w:gridCol w:w="1980"/>
            <w:gridCol w:w="3090"/>
            <w:gridCol w:w="37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Etapa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Ação do Consumidor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Ponto de Contato com a Red Bull</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Descoberta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 estímulo para estudar, trabalhar até tarde ou praticar esportes.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Vídeos de esportes radicais no YouTube/TikTok, patrocínio na F1 ou eSports.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Consideração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 opções de energia no ponto de venda ou aplicativo de entrega.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Geladeiras personalizadas da marca no PDV, latas organizadas por funcionalidade.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Adquire a lata em conveniências, supermercados ou festivais.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Comunicação no PDV reforçando o benefício funcional (</w:t>
            </w:r>
            <w:r w:rsidDel="00000000" w:rsidR="00000000" w:rsidRPr="00000000">
              <w:rPr>
                <w:rFonts w:ascii="Times New Roman" w:cs="Times New Roman" w:eastAsia="Times New Roman" w:hAnsi="Times New Roman"/>
                <w:i w:val="1"/>
                <w:iCs w:val="1"/>
                <w:sz w:val="24"/>
                <w:szCs w:val="24"/>
                <w:rtl w:val="0"/>
              </w:rPr>
              <w:t xml:space="preserve">"Red Bull te dá asas"</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Consome durante o momento de foco ou atividade intensa.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Experiência com a bebida (sabor, efeito imediato da cafeína).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Fidelização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 a marca ao seu estilo de vida diário.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sociais da marca, eventos presenciais .</w:t>
            </w:r>
          </w:p>
        </w:tc>
      </w:tr>
    </w:tbl>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 objetivo responde ao problema de comunicação? </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 pois a Red Bull enfrenta uma saturação na percepção da marca, uma vez que a associação exclusiva a esportes radicais e adrenalina extrema acaba por afastar o público que busca energia para tarefas cotidianas de foco, estudo e trabalho.</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ideal seria expandir a percepção da marca de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energia para esportes extremos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energia e clareza mental para o alto rendimento diário</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aumentando a consideração de compra do público funcional (estudantes e profissionais) sem perder a essência da marca.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público prioritário é específico e justificável?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 no caso o público prioritário seriam os trabalhadores remotos, profissionais do conhecimento e estudantes universitários em rotinas intensas de produtividade (18 a 35 anos), uma vez que esse grupo possui uma alta demanda por energia funcional (nesse caso a busca por foco, concentração e resistência mental) acaba também por ser impactado pelo achismo de que o produto é voltado apenas para momentos de festa ou atividades radicais. Focar nesse segmento permite abrir portas para a ampliação do ecossistema sem prejudicar aquilo que já funciona.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posicionamento diferencia a marca de alternativas reais?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 as alternativas do mercado atualmente são os cafés especiais (como o supercoffee), suplementos, bebidas de pré-treino e alguns energéticos de baixo custo. O diferencial da Red Bull é não apenas trazer resistência, é se posicionar como um “Combustível de Performance Intelectual e Criativa" a marca entrega conveniência, consistência de sabor, taurina e o selo de estilo de vida de quem busca superar seus próprios limites.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mensagem central é simples e memorável?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 pois a mensagem central é "Asas para as suas conquistas diárias." o que é uma evolução do clássico slogan "Red Bull te dá asas" já muito conhecido. A mensagem ressignifica o conceito de "voar" para além de saltar de um avião ou pilotar um carro de F1, "voar" passa a significar também fechar um projeto antes do prazo, gabaritar uma prova ou manter o foco em uma jornada extensa de trabalho.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 canais foram escolhidos por função na jornada?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 os canais foram alinhados diretamente a cada etapa da jornada do consumidor já definidas, desde a descoberta através dos conteúdos das redes sociais mostrando rotinas reais de produtividade e bastidores de criadores e profissionais, até a fidelização do cliente onde se pode obter ações em aplicativos de entrega (iFood/Rappi) com combos voltados para o "Momento de Foco/Estudo” por exemplo. </w:t>
      </w:r>
    </w:p>
    <w:p>
      <w:pPr>
        <w:keepNext w:val="1"/>
        <w:pageBreakBefore w:val="1"/>
        <w:spacing w:before="0" w:after="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COMPLEMENTOS ESTRATÉGICOS DAS PARTES 1 E 2</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Este bloco acrescenta os elementos da estrutura final do plano que ainda não estavam explícitos nas Partes 1 e 2. O texto anterior foi mantido sem alterações. Cada complemento parte do que o grupo já definiu: problema, tensão, público prioritário, objetivo, posicionamento, mensagem central e jornada. Os complementos A a E detalham itens já existentes; a seção 8 (big idea) é um item novo da estrutura final. O Quadro 1 mostra onde cada um dos 14 itens da estrutura final se encontra neste documento.</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 – </w:t>
      </w:r>
      <w:r>
        <w:rPr>
          <w:rFonts w:ascii="Times New Roman" w:cs="Times New Roman" w:eastAsia="Times New Roman" w:hAnsi="Times New Roman"/>
          <w:sz w:val="24"/>
          <w:szCs w:val="24"/>
        </w:rPr>
        <w:t xml:space="preserve">Localização dos itens da estrutura final no documento</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729"/>
      </w:tblGrid>
      <w:tr>
        <w:trPr>
          <w:cantSplit w:val="1"/>
          <w:tblHeader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Item da estrutura final</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Onde está neste documento</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 Contextualização do caso</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Seções 1 e 2 (organização, produto, serviço e mercado)</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2. Diagnóstico de comunicação</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“2. Evidências e Hipóteses”</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3. Problema ou oportunidade</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3 (Problema de Comunicação)</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4. Público prioritário e insight</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4; resposta “O público prioritário é específico e justificável?”; complemento A (insight)</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5. Jornada e pontos de contato</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5 (tabela de jornada); complemento E (matriz jornada–canais)</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6. Objetivo de comunicação</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Resposta “O objetivo responde ao problema de comunicação?”; complemento B (proposta de redação)</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7. Posicionamento e mensagem</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Respostas sobre posicionamento e mensagem central; complementos C e D</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8. Big idea</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8, ao final deste bloco</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9. Estratégia de canais</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Resposta “Os canais foram escolhidos por função na jornada?”; complemento E; seção 9</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10. Plano de ações integradas</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10</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11. Cronograma e responsabilidades</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11</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12. Orçamento</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12</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13. Indicadores e metas</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13</w:t>
            </w:r>
          </w:p>
        </w:tc>
      </w:tr>
      <w:tr>
        <w:trPr>
          <w:cantSplit w:val="1"/>
        </w:trPr>
        <w:tc>
          <w:tcPr>
            <w:tcW w:w="3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14. Avaliação e aprendizagem</w:t>
            </w:r>
          </w:p>
        </w:tc>
        <w:tc>
          <w:tcPr>
            <w:tcW w:w="5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14 e fechamento do plano (checklist e rastreabilidade)</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(2026a).</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A. Insight do público (complemento ao item 4)</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Tensão já registrada (seção 3):</w:t>
      </w:r>
      <w:r>
        <w:rPr>
          <w:rFonts w:ascii="Times New Roman" w:cs="Times New Roman" w:eastAsia="Times New Roman" w:hAnsi="Times New Roman"/>
          <w:sz w:val="24"/>
          <w:szCs w:val="24"/>
        </w:rPr>
        <w:t xml:space="preserve"> o foco histórico em esportes radicais afasta consumidores funcionais que buscam foco e bem-estar, sem a estética agitada associada à marca.</w:t>
      </w:r>
    </w:p>
    <w:p>
      <w:pPr>
        <w:spacing w:before="0" w:after="8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Insight (verdade sobre o público):</w:t>
      </w:r>
    </w:p>
    <w:p>
      <w:pPr>
        <w:spacing w:before="0" w:after="160" w:line="276" w:lineRule="auto"/>
        <w:ind w:left="1134"/>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Pr>
        <w:t xml:space="preserve">“Meu dia também tem momentos decisivos: a prova, a entrega, a reunião que define o projeto. Mas eu não me vejo como alguém radical. Quero energia para dar conta do que importa, não adrenalina.”</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Leitura estratégica:</w:t>
      </w:r>
      <w:r>
        <w:rPr>
          <w:rFonts w:ascii="Times New Roman" w:cs="Times New Roman" w:eastAsia="Times New Roman" w:hAnsi="Times New Roman"/>
          <w:sz w:val="24"/>
          <w:szCs w:val="24"/>
        </w:rPr>
        <w:t xml:space="preserve"> para esse público, o alto rendimento é cotidiano e silencioso. A marca costuma mostrar a conquista espetacular (o salto, a corrida), enquanto o público vive conquistas que ninguém vê (o capítulo concluído, o código que roda, o prazo cumprido). Essa distância explica a percepção de que o produto é voltado a festas ou atividades radicais, registrada na Parte 2, e aponta o caminho da comunicação: dar visibilidade e valor às conquistas diárias.</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Contexto que sustenta a escolha:</w:t>
      </w:r>
      <w:r>
        <w:rPr>
          <w:rFonts w:ascii="Times New Roman" w:cs="Times New Roman" w:eastAsia="Times New Roman" w:hAnsi="Times New Roman"/>
          <w:sz w:val="24"/>
          <w:szCs w:val="24"/>
        </w:rPr>
        <w:t xml:space="preserve"> no 4º trimestre de 2022, 9,5 milhões de pessoas trabalhavam de forma remota no Brasil (IBGE apud PODER360, 2023). Em 2024, o ensino superior somou 10,2 milhões de matrículas e, pela primeira vez, a maioria delas (50,75%) estava em cursos a distância (INEP apud AGÊNCIA BRASIL, 2025). Boa parte do público prioritário estuda e trabalha em casa, o que aumenta o peso dos canais digitais e dos aplicativos de entrega.</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Status:</w:t>
      </w:r>
      <w:r>
        <w:rPr>
          <w:rFonts w:ascii="Times New Roman" w:cs="Times New Roman" w:eastAsia="Times New Roman" w:hAnsi="Times New Roman"/>
          <w:sz w:val="24"/>
          <w:szCs w:val="24"/>
        </w:rPr>
        <w:t xml:space="preserve"> o insight é uma formulação do grupo a partir da tensão descrita na seção 3. Ele será testado na pesquisa de linha de base (seção 13), antes do lançamento da campanha.</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B. Objetivo de comunicação: proposta de redação (complemento ao item 6)</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redação atual da Parte 2 foi mantida. A proposta abaixo aplica a fórmula vista em aula, [verbo] + [público] + [mudança comunicacional] + [horizonte] (SOUZA, 2026b), sem mudar o sentido original. </w:t>
      </w:r>
      <w:r>
        <w:rPr>
          <w:rFonts w:ascii="Times New Roman" w:cs="Times New Roman" w:eastAsia="Times New Roman" w:hAnsi="Times New Roman"/>
          <w:b w:val="1"/>
          <w:bCs w:val="1"/>
          <w:sz w:val="24"/>
          <w:szCs w:val="24"/>
        </w:rPr>
        <w:t xml:space="preserve">Cabe ao grupo decidir se ela substitui a redação atual.</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2 – </w:t>
      </w:r>
      <w:r>
        <w:rPr>
          <w:rFonts w:ascii="Times New Roman" w:cs="Times New Roman" w:eastAsia="Times New Roman" w:hAnsi="Times New Roman"/>
          <w:sz w:val="24"/>
          <w:szCs w:val="24"/>
        </w:rPr>
        <w:t xml:space="preserve">Objetivo de comunicação na fórmula proposta</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29"/>
      </w:tblGrid>
      <w:tr>
        <w:trPr>
          <w:cantSplit w:val="1"/>
          <w:tblHeader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Elemento</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Redação proposta</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Verbo</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Ampliar</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Público</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Universitários, trabalhadores remotos e profissionais do conhecimento de 18 a 35 anos em rotinas intensas</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Mudança comunicacional</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Passar de “energia para esportes extremos” para “energia e clareza mental para o alto rendimento diário”, elevando a consideração de compra para momentos de estudo e trabalho, sem perder a essência da marca</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Horizonte</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Três meses (duração da campanha)</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Redação completa</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“Ampliar, entre universitários, trabalhadores remotos e profissionais do conhecimento de 18 a 35 anos, a associação da Red Bull a ‘energia e clareza mental para o alto rendimento diário’, e não apenas a esportes extremos, elevando a consideração de compra para momentos de estudo e trabalho nos próximos três meses, sem perder a essência da marca.”</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Como será medido</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Indicadores 3 (associação) e 4 (consideração) do painel da seção 13, com linha de base e meta</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C. Declaração de posicionamento (complemento ao item 7)</w:t>
      </w:r>
    </w:p>
    <w:p>
      <w:pPr>
        <w:spacing w:before="0" w:after="160" w:line="276" w:lineRule="auto"/>
        <w:ind w:left="1134"/>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Pr>
        <w:t xml:space="preserve">“Para universitários, trabalhadores remotos e profissionais do conhecimento de 18 a 35 anos em rotinas intensas, a Red Bull é o combustível de performance intelectual e criativa que entrega energia para os momentos de foco que constroem as conquistas do dia, porque oferece uma fórmula padronizada e pronta para consumo (80 mg de cafeína por lata de 250 ml, taurina e vitaminas do complexo B, com versões sem açúcar), está disponível onde a rotina acontece e carrega décadas de associação com a superação de limites.”</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Alternativas reais (Parte 2):</w:t>
      </w:r>
      <w:r>
        <w:rPr>
          <w:rFonts w:ascii="Times New Roman" w:cs="Times New Roman" w:eastAsia="Times New Roman" w:hAnsi="Times New Roman"/>
          <w:sz w:val="24"/>
          <w:szCs w:val="24"/>
        </w:rPr>
        <w:t xml:space="preserve"> cafés especiais (como o SuperCoffee), suplementos, pré-treinos e energéticos de baixo custo. </w:t>
      </w:r>
      <w:r>
        <w:rPr>
          <w:rFonts w:ascii="Times New Roman" w:cs="Times New Roman" w:eastAsia="Times New Roman" w:hAnsi="Times New Roman"/>
          <w:b w:val="1"/>
          <w:bCs w:val="1"/>
          <w:sz w:val="24"/>
          <w:szCs w:val="24"/>
        </w:rPr>
        <w:t xml:space="preserve">Diferença defendida:</w:t>
      </w:r>
      <w:r>
        <w:rPr>
          <w:rFonts w:ascii="Times New Roman" w:cs="Times New Roman" w:eastAsia="Times New Roman" w:hAnsi="Times New Roman"/>
          <w:sz w:val="24"/>
          <w:szCs w:val="24"/>
        </w:rPr>
        <w:t xml:space="preserve"> conveniência e consistência (sempre igual, gelada e pronta), somadas ao significado da marca (quem supera os próprios limites). A frase orienta a equipe e não é texto para o consumidor (SOUZA, 2026b).</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D. Provas de apoio e critério de sucesso (complemento ao item 7)</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hierarquia de mensagens organiza uma ideia central e três provas que a sustentam (SOUZA, 2026b).</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3 – </w:t>
      </w:r>
      <w:r>
        <w:rPr>
          <w:rFonts w:ascii="Times New Roman" w:cs="Times New Roman" w:eastAsia="Times New Roman" w:hAnsi="Times New Roman"/>
          <w:sz w:val="24"/>
          <w:szCs w:val="24"/>
        </w:rPr>
        <w:t xml:space="preserve">Hierarquia de mensagens e provas de apoio</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729"/>
        <w:gridCol w:w="2600"/>
      </w:tblGrid>
      <w:tr>
        <w:trPr>
          <w:cantSplit w:val="1"/>
          <w:tblHeader w:val="1"/>
        </w:trPr>
        <w:tc>
          <w:tcPr>
            <w:tcW w:w="17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Nível</w:t>
            </w:r>
          </w:p>
        </w:tc>
        <w:tc>
          <w:tcPr>
            <w:tcW w:w="4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Conteúdo</w:t>
            </w:r>
          </w:p>
        </w:tc>
        <w:tc>
          <w:tcPr>
            <w:tcW w:w="26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Onde aparece</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Mensagem central</w:t>
            </w:r>
          </w:p>
        </w:tc>
        <w:tc>
          <w:tcPr>
            <w:tcW w:w="4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“Asas para as suas conquistas diárias.”</w:t>
            </w:r>
          </w:p>
        </w:tc>
        <w:tc>
          <w:tcPr>
            <w:tcW w:w="26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Assinatura de todas as peças e ações</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Prova 1: atributo</w:t>
            </w:r>
          </w:p>
        </w:tc>
        <w:tc>
          <w:tcPr>
            <w:tcW w:w="4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Fórmula padronizada: 80 mg de cafeína por lata de 250 ml, quantidade próxima à de uma xícara de café coado (RED BULL, [20--]), com taurina, vitaminas do complexo B e versões sem açúcar</w:t>
            </w:r>
          </w:p>
        </w:tc>
        <w:tc>
          <w:tcPr>
            <w:tcW w:w="26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Hub Modo Foco (A2), PDV (A5) e combo nos aplicativos (A6)</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Prova 2: benefício</w:t>
            </w:r>
          </w:p>
        </w:tc>
        <w:tc>
          <w:tcPr>
            <w:tcW w:w="4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Energia pronta, gelada e portátil, na medida de uma lata, para o momento de foco (prova, entrega, reunião), sem preparo e com sabor constante</w:t>
            </w:r>
          </w:p>
        </w:tc>
        <w:tc>
          <w:tcPr>
            <w:tcW w:w="26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Vídeos (A1), ativação (A4) e PDV (A5)</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Prova 3: credencial</w:t>
            </w:r>
          </w:p>
        </w:tc>
        <w:tc>
          <w:tcPr>
            <w:tcW w:w="4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Escala e consistência globais: 13,969 bilhões de latas vendidas em 2025, em 178 países (RED BULL, [2026]). Atuação já existente com jovens inovadores fora do esporte, como o Red Bull Basement, competição de inovação com seletiva no Brasil para maiores de 18 anos (CANALTECH, [2024?])</w:t>
            </w:r>
          </w:p>
        </w:tc>
        <w:tc>
          <w:tcPr>
            <w:tcW w:w="26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Prova social e imprensa (A3) e ativação em campus (A4)</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dados das fontes citadas.</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Critério de sucesso da estratégia:</w:t>
      </w:r>
      <w:r>
        <w:rPr>
          <w:rFonts w:ascii="Times New Roman" w:cs="Times New Roman" w:eastAsia="Times New Roman" w:hAnsi="Times New Roman"/>
          <w:sz w:val="24"/>
          <w:szCs w:val="24"/>
        </w:rPr>
        <w:t xml:space="preserve"> a estratégia terá feito sentido se, ao fim dos três meses, (1) o público prioritário exposto à campanha associar a Red Bull a “foco para estudar e trabalhar” mais do que o público não exposto, com diferença estatisticamente significativa; (2) essa mudança aparecer também em comportamento, com mais consideração e mais compras nas ocasiões de foco; e (3) a associação com “superar limites” não cair, o que mostra que a essência da marca foi preservada. As metas numéricas estão na seção 13.</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E. Matriz jornada–canais (complemento aos itens 5 e 9)</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matriz parte das etapas da tabela de jornada (seção 5) e indica, para cada uma, a barreira do público prioritário, a tarefa da comunicação e os canais escolhidos pela função que cumprem. Os pontos de contato atuais (esportes radicais, Fórmula 1 e eSports) continuam e preservam a essência da marca; a campanha acrescenta a narrativa das conquistas diárias, muitas vezes nas mesmas plataformas.</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4 – </w:t>
      </w:r>
      <w:r>
        <w:rPr>
          <w:rFonts w:ascii="Times New Roman" w:cs="Times New Roman" w:eastAsia="Times New Roman" w:hAnsi="Times New Roman"/>
          <w:sz w:val="24"/>
          <w:szCs w:val="24"/>
        </w:rPr>
        <w:t xml:space="preserve">Matriz jornada–canais</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0"/>
        <w:gridCol w:w="2200"/>
        <w:gridCol w:w="2400"/>
        <w:gridCol w:w="2979"/>
      </w:tblGrid>
      <w:tr>
        <w:trPr>
          <w:cantSplit w:val="1"/>
          <w:tblHeader w:val="1"/>
        </w:trPr>
        <w:tc>
          <w:tcPr>
            <w:tcW w:w="14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Etapa</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Barreira</w:t>
            </w:r>
          </w:p>
        </w:tc>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Tarefa da comunicação</w:t>
            </w:r>
          </w:p>
        </w:tc>
        <w:tc>
          <w:tcPr>
            <w:tcW w:w="29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Canais (função)</w:t>
            </w:r>
          </w:p>
        </w:tc>
      </w:tr>
      <w:tr>
        <w:trPr>
          <w:cantSplit w:val="1"/>
        </w:trPr>
        <w:tc>
          <w:tcPr>
            <w:tcW w:w="14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Descoberta</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“Red Bull não é para mim: é de esporte radical e festa.”</w:t>
            </w:r>
          </w:p>
        </w:tc>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Chamar atenção e ressignificar o “voar” com conquistas diárias de pessoas parecidas com o público</w:t>
            </w:r>
          </w:p>
        </w:tc>
        <w:tc>
          <w:tcPr>
            <w:tcW w:w="29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Vídeos curtos de criadores no TikTok, Reels e Shorts, com mídia paga segmentada; versões longas no YouTube (atrair)</w:t>
            </w:r>
          </w:p>
        </w:tc>
      </w:tr>
      <w:tr>
        <w:trPr>
          <w:cantSplit w:val="1"/>
        </w:trPr>
        <w:tc>
          <w:tcPr>
            <w:tcW w:w="14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Consideração</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Dúvida sobre quando e como usar no estudo e no trabalho; comparação com café e com opções mais baratas</w:t>
            </w:r>
          </w:p>
        </w:tc>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Explicar o uso no momento de foco, mostrar composição e consumo responsável, dar prova social</w:t>
            </w:r>
          </w:p>
        </w:tc>
        <w:tc>
          <w:tcPr>
            <w:tcW w:w="29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Hub Modo Foco, carrosséis e remarketing (explicar); depoimentos, UGC e imprensa (provar); geladeira e comunicação funcional no PDV, já previstas na Parte 2</w:t>
            </w:r>
          </w:p>
        </w:tc>
      </w:tr>
      <w:tr>
        <w:trPr>
          <w:cantSplit w:val="1"/>
        </w:trPr>
        <w:tc>
          <w:tcPr>
            <w:tcW w:w="14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Compra</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Preço premium; marca esquecida na hora de escolher</w:t>
            </w:r>
          </w:p>
        </w:tc>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Estar no lugar e no momento certos, com um motivo claro para levar agora</w:t>
            </w:r>
          </w:p>
        </w:tc>
        <w:tc>
          <w:tcPr>
            <w:tcW w:w="29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PDV próximo a universidades e coworkings; combo “Momento de Foco/Estudo” no iFood e no Rappi; amostragem com cupom (converter)</w:t>
            </w:r>
          </w:p>
        </w:tc>
      </w:tr>
      <w:tr>
        <w:trPr>
          <w:cantSplit w:val="1"/>
        </w:trPr>
        <w:tc>
          <w:tcPr>
            <w:tcW w:w="14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Consumo</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Consumo sem contexto (“só uma lata gelada”) e risco de associação a excesso</w:t>
            </w:r>
          </w:p>
        </w:tc>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Ligar o consumo à conquista e orientar o uso responsável</w:t>
            </w:r>
          </w:p>
        </w:tc>
        <w:tc>
          <w:tcPr>
            <w:tcW w:w="29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Ativação Pausa com Asas; cartão e QR do combo com rotina de foco; playlist Modo Foco (provar e explicar)</w:t>
            </w:r>
          </w:p>
        </w:tc>
      </w:tr>
      <w:tr>
        <w:trPr>
          <w:cantSplit w:val="1"/>
        </w:trPr>
        <w:tc>
          <w:tcPr>
            <w:tcW w:w="14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Fidelização</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Uso pontual; a marca só é lembrada no próximo aperto</w:t>
            </w:r>
          </w:p>
        </w:tc>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Manter o vínculo e reativar nos picos de demanda (provas, fechamentos de projeto)</w:t>
            </w:r>
          </w:p>
        </w:tc>
        <w:tc>
          <w:tcPr>
            <w:tcW w:w="29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Diário de Bordo (WhatsApp e e-mail com consentimento), cupom de recompra no aplicativo, conteúdo recorrente nas redes (relacionar e reativar)</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(2026b).</w:t>
      </w:r>
    </w:p>
    <w:p>
      <w:pPr>
        <w:keepNext w:val="1"/>
        <w:pageBreakBefore w:val="1"/>
        <w:spacing w:before="360" w:after="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8. Big Idea</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Big idea: “Todo dia tem um voo.”</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Red Bull passa a narrar as conquistas cotidianas do público (a prova, a entrega, o projeto) com a mesma linguagem épica que usa para os voos de seus atletas. A conquista que ninguém vê ganha câmera lenta, cronômetro, telemetria e narração de transmissão esportiva. A lata aparece no momento de foco que antecede o “pouso”, isto é, a conquista concluída.</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5 – </w:t>
      </w:r>
      <w:r>
        <w:rPr>
          <w:rFonts w:ascii="Times New Roman" w:cs="Times New Roman" w:eastAsia="Times New Roman" w:hAnsi="Times New Roman"/>
          <w:sz w:val="24"/>
          <w:szCs w:val="24"/>
        </w:rPr>
        <w:t xml:space="preserve">Da estratégia à big idea</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29"/>
      </w:tblGrid>
      <w:tr>
        <w:trPr>
          <w:cantSplit w:val="1"/>
          <w:tblHeader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Elemento</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Conteúdo</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Insight</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“Meu dia tem momentos decisivos, mas eu não me vejo como radical; minhas conquistas ninguém vê.”</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Promessa</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Energia para o momento de foco que constrói a conquista do dia.</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Mensagem central</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“Asas para as suas conquistas diárias.”</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Big idea</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“Todo dia tem um voo”: dar às conquistas diárias a linguagem dos grandes voos da marca.</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Por que não é só um slogan</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Define um mecanismo criativo replicável (a linguagem de transmissão esportiva aplicada ao cotidiano) que gera todas as ações. Mantém a estética de performance da marca e muda o território, do radical para o diário.</w:t>
            </w:r>
          </w:p>
        </w:tc>
      </w:tr>
      <w:tr>
        <w:trPr>
          <w:cantSplit w:val="1"/>
        </w:trPr>
        <w:tc>
          <w:tcPr>
            <w:tcW w:w="2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Desdobramentos</w:t>
            </w:r>
          </w:p>
        </w:tc>
        <w:tc>
          <w:tcPr>
            <w:tcW w:w="66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Transmissões do Dia a Dia (vídeos, A1); Hub Modo Foco (A2); Conquistas Reais (prova social, A3); Pausa com Asas (ativação, A4); Seu Próximo Voo (PDV, A5); Combo Momento de Foco (aplicativos, A6); Diário de Bordo (comunidade, A7)</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w:t>
      </w:r>
    </w:p>
    <w:p>
      <w:pPr>
        <w:keepNext w:val="1"/>
        <w:pageBreakBefore w:val="1"/>
        <w:spacing w:before="0" w:after="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PARTE 3 – EXECUÇÃO E MENSURAÇÃO</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Parte 3 transforma a arquitetura das Partes 1 e 2 em ações coordenadas, com sequência, responsáveis, recursos e indicadores. As premissas abaixo valem para todas as seções seguintes e evitam que dados indisponíveis sejam apresentados como reais.</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6 – </w:t>
      </w:r>
      <w:r>
        <w:rPr>
          <w:rFonts w:ascii="Times New Roman" w:cs="Times New Roman" w:eastAsia="Times New Roman" w:hAnsi="Times New Roman"/>
          <w:sz w:val="24"/>
          <w:szCs w:val="24"/>
        </w:rPr>
        <w:t xml:space="preserve">Premissas gerais do plano</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729"/>
      </w:tblGrid>
      <w:tr>
        <w:trPr>
          <w:cantSplit w:val="1"/>
          <w:tblHeader w:val="1"/>
        </w:trPr>
        <w:tc>
          <w:tcPr>
            <w:tcW w:w="2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Premissa</w:t>
            </w:r>
          </w:p>
        </w:tc>
        <w:tc>
          <w:tcPr>
            <w:tcW w:w="6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Definição</w:t>
            </w:r>
          </w:p>
        </w:tc>
      </w:tr>
      <w:tr>
        <w:trPr>
          <w:cantSplit w:val="1"/>
        </w:trPr>
        <w:tc>
          <w:tcPr>
            <w:tcW w:w="2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Mercado</w:t>
            </w:r>
          </w:p>
        </w:tc>
        <w:tc>
          <w:tcPr>
            <w:tcW w:w="6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Brasil.</w:t>
            </w:r>
          </w:p>
        </w:tc>
      </w:tr>
      <w:tr>
        <w:trPr>
          <w:cantSplit w:val="1"/>
        </w:trPr>
        <w:tc>
          <w:tcPr>
            <w:tcW w:w="2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Horizonte</w:t>
            </w:r>
          </w:p>
        </w:tc>
        <w:tc>
          <w:tcPr>
            <w:tcW w:w="6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13 semanas (três meses). Sugere-se que a onda Lançar coincida com o início de um semestre letivo e a onda Converter, com o período de provas e entregas. As datas variam por instituição.</w:t>
            </w:r>
          </w:p>
        </w:tc>
      </w:tr>
      <w:tr>
        <w:trPr>
          <w:cantSplit w:val="1"/>
        </w:trPr>
        <w:tc>
          <w:tcPr>
            <w:tcW w:w="2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Cobertura</w:t>
            </w:r>
          </w:p>
        </w:tc>
        <w:tc>
          <w:tcPr>
            <w:tcW w:w="6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Ações digitais em todo o país. Ações presenciais (campus, coworkings e PDV) em cinco praças-piloto: São Paulo, Rio de Janeiro, Belo Horizonte, Brasília e Cuiabá. As quatro primeiras concentram universitários e profissionais do conhecimento; Cuiabá, capital de porte médio, testa se o resultado se repete fora dos grandes centros (premissa do grupo).</w:t>
            </w:r>
          </w:p>
        </w:tc>
      </w:tr>
      <w:tr>
        <w:trPr>
          <w:cantSplit w:val="1"/>
        </w:trPr>
        <w:tc>
          <w:tcPr>
            <w:tcW w:w="2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Produtos em foco</w:t>
            </w:r>
          </w:p>
        </w:tc>
        <w:tc>
          <w:tcPr>
            <w:tcW w:w="6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Red Bull Energy Drink e suas versões sem açúcar, que respondem à busca por bem-estar citada na tensão (seção 3).</w:t>
            </w:r>
          </w:p>
        </w:tc>
      </w:tr>
      <w:tr>
        <w:trPr>
          <w:cantSplit w:val="1"/>
        </w:trPr>
        <w:tc>
          <w:tcPr>
            <w:tcW w:w="2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Responsáveis</w:t>
            </w:r>
          </w:p>
        </w:tc>
        <w:tc>
          <w:tcPr>
            <w:tcW w:w="6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Cargos ilustrativos de uma estrutura de marketing típica (Gerência de Marca, Trade Marketing, Digital/CRM, Comunicação, Inteligência de Mercado), com apoio de agências e da Red Bull Media House. Não representam o organograma real da empresa.</w:t>
            </w:r>
          </w:p>
        </w:tc>
      </w:tr>
      <w:tr>
        <w:trPr>
          <w:cantSplit w:val="1"/>
        </w:trPr>
        <w:tc>
          <w:tcPr>
            <w:tcW w:w="2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Valores e linhas de base</w:t>
            </w:r>
          </w:p>
        </w:tc>
        <w:tc>
          <w:tcPr>
            <w:tcW w:w="6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Valores fictícios para fins acadêmicos ou estimativas do grupo, sempre identificados como tal. Dados reais aparecem apenas com fonte.</w:t>
            </w:r>
          </w:p>
        </w:tc>
      </w:tr>
      <w:tr>
        <w:trPr>
          <w:cantSplit w:val="1"/>
        </w:trPr>
        <w:tc>
          <w:tcPr>
            <w:tcW w:w="2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Consumo responsável</w:t>
            </w:r>
          </w:p>
        </w:tc>
        <w:tc>
          <w:tcPr>
            <w:tcW w:w="6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Comunicação apenas para maiores de 18 anos, sem incentivo a consumo excessivo, à mistura com álcool ou a passar a noite sem dormir. Todas as peças passam por revisão jurídica e regulatória (normas da ANVISA e do CONAR) antes da veiculação.</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w:t>
      </w:r>
    </w:p>
    <w:p>
      <w:pPr>
        <w:keepNext w:val="1"/>
        <w:spacing w:before="360" w:after="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9. Estratégia de Canais</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Na Parte 2, o grupo escolheu os canais pela função que cumprem na jornada. Aqui essa escolha vira um ecossistema: cada ponto de contato tem um papel (atrair, explicar, provar, converter, relacionar ou reativar), um tipo de mídia (paga, própria, conquistada ou experiência) e uma justificativa ligada ao público e à etapa. Todos repetem a mesma mensagem central e a mesma big idea, o que garante a integração (Figura 1).</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Figura 1 – </w:t>
      </w:r>
      <w:r>
        <w:rPr>
          <w:rFonts w:ascii="Times New Roman" w:cs="Times New Roman" w:eastAsia="Times New Roman" w:hAnsi="Times New Roman"/>
          <w:sz w:val="24"/>
          <w:szCs w:val="24"/>
        </w:rPr>
        <w:t xml:space="preserve">Ecossistema de pontos de contato em torno da mensagem central</w:t>
      </w:r>
    </w:p>
    <w:p>
      <w:pPr>
        <w:keepNext w:val="1"/>
        <w:spacing w:before="60" w:after="60" w:line="240" w:lineRule="auto"/>
        <w:jc w:val="center"/>
      </w:pPr>
      <w:r>
        <w:drawing>
          <wp:inline distT="0" distB="0" distL="0" distR="0">
            <wp:extent cx="5580000" cy="3301500"/>
            <wp:effectExtent l="0" t="0" r="0" b="0"/>
            <wp:docPr id="2" name="figura1.png" descr="Ecossistema de pontos de contato: Atrair, Explicar, Provar, Converter, Relacionar e Reativar em torno da mensagem central"/>
            <wp:cNvGraphicFramePr>
              <a:graphicFrameLocks noChangeAspect="1"/>
            </wp:cNvGraphicFramePr>
            <a:graphic>
              <a:graphicData uri="http://schemas.openxmlformats.org/drawingml/2006/picture">
                <pic:pic>
                  <pic:nvPicPr>
                    <pic:cNvPr id="0" name="figura1.png"/>
                    <pic:cNvPicPr/>
                  </pic:nvPicPr>
                  <pic:blipFill>
                    <a:blip r:embed="rId100"/>
                    <a:stretch>
                      <a:fillRect/>
                    </a:stretch>
                  </pic:blipFill>
                  <pic:spPr>
                    <a:xfrm>
                      <a:off x="0" y="0"/>
                      <a:ext cx="5580000" cy="3301500"/>
                    </a:xfrm>
                    <a:prstGeom prst="rect">
                      <a:avLst/>
                    </a:prstGeom>
                  </pic:spPr>
                </pic:pic>
              </a:graphicData>
            </a:graphic>
          </wp:inline>
        </w:drawing>
      </w:r>
    </w:p>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(2026b; 2026c).</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7 – </w:t>
      </w:r>
      <w:r>
        <w:rPr>
          <w:rFonts w:ascii="Times New Roman" w:cs="Times New Roman" w:eastAsia="Times New Roman" w:hAnsi="Times New Roman"/>
          <w:sz w:val="24"/>
          <w:szCs w:val="24"/>
        </w:rPr>
        <w:t xml:space="preserve">Papel de cada canal no ecossistema</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1200"/>
        <w:gridCol w:w="1150"/>
        <w:gridCol w:w="1500"/>
        <w:gridCol w:w="3279"/>
      </w:tblGrid>
      <w:tr>
        <w:trPr>
          <w:cantSplit w:val="1"/>
          <w:tblHeader w:val="1"/>
        </w:trPr>
        <w:tc>
          <w:tcPr>
            <w:tcW w:w="1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Canal ou ponto de contato</w:t>
            </w:r>
          </w:p>
        </w:tc>
        <w:tc>
          <w:tcPr>
            <w:tcW w:w="1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Tipo de mídia</w:t>
            </w:r>
          </w:p>
        </w:tc>
        <w:tc>
          <w:tcPr>
            <w:tcW w:w="11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Função</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Etapa</w:t>
            </w:r>
          </w:p>
        </w:tc>
        <w:tc>
          <w:tcPr>
            <w:tcW w:w="32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Por que este canal</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Vídeos curtos de criadores (TikTok, Instagram Reels, YouTube Shorts)</w:t>
            </w:r>
          </w:p>
        </w:tc>
        <w:tc>
          <w:tcPr>
            <w:tcW w:w="1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Paga e conquistada</w:t>
            </w:r>
          </w:p>
        </w:tc>
        <w:tc>
          <w:tcPr>
            <w:tcW w:w="11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Atrair</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Descoberta</w:t>
            </w:r>
          </w:p>
        </w:tc>
        <w:tc>
          <w:tcPr>
            <w:tcW w:w="32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É onde o público de 18 a 35 anos acompanha rotinas de estudo e produtividade. O formato curto mostra uma conquista diária em 30 a 60 segundos e permite segmentar por interesse.</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YouTube e Red Bull Media House (versões longas)</w:t>
            </w:r>
          </w:p>
        </w:tc>
        <w:tc>
          <w:tcPr>
            <w:tcW w:w="1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Própria</w:t>
            </w:r>
          </w:p>
        </w:tc>
        <w:tc>
          <w:tcPr>
            <w:tcW w:w="11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Atrair e inspirar</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Descoberta</w:t>
            </w:r>
          </w:p>
        </w:tc>
        <w:tc>
          <w:tcPr>
            <w:tcW w:w="32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Usa a competência audiovisual que a marca já tem e aprofunda as histórias.</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Hub Modo Foco (página no site e playlist de foco)</w:t>
            </w:r>
          </w:p>
        </w:tc>
        <w:tc>
          <w:tcPr>
            <w:tcW w:w="1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Própria</w:t>
            </w:r>
          </w:p>
        </w:tc>
        <w:tc>
          <w:tcPr>
            <w:tcW w:w="11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Explicar</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Consideração</w:t>
            </w:r>
          </w:p>
        </w:tc>
        <w:tc>
          <w:tcPr>
            <w:tcW w:w="32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Responde a dúvidas de uso, composição e consumo responsável, concentra o tráfego e permite medir cliques para compra.</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Remarketing (Meta, TikTok e Google)</w:t>
            </w:r>
          </w:p>
        </w:tc>
        <w:tc>
          <w:tcPr>
            <w:tcW w:w="1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Paga</w:t>
            </w:r>
          </w:p>
        </w:tc>
        <w:tc>
          <w:tcPr>
            <w:tcW w:w="11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Explicar e provar</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Consideração</w:t>
            </w:r>
          </w:p>
        </w:tc>
        <w:tc>
          <w:tcPr>
            <w:tcW w:w="32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Fala de novo com quem já assistiu aos vídeos e evita gastar verba de explicação com público frio.</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Depoimentos, UGC e imprensa</w:t>
            </w:r>
          </w:p>
        </w:tc>
        <w:tc>
          <w:tcPr>
            <w:tcW w:w="1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Conquistada</w:t>
            </w:r>
          </w:p>
        </w:tc>
        <w:tc>
          <w:tcPr>
            <w:tcW w:w="11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Provar</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Consideração</w:t>
            </w:r>
          </w:p>
        </w:tc>
        <w:tc>
          <w:tcPr>
            <w:tcW w:w="32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Pessoas parecidas com o público reduzem o “isso não é para mim”, e a imprensa dá credibilidade de terceiros.</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Ativação Pausa com Asas (campus, bibliotecas e coworkings)</w:t>
            </w:r>
          </w:p>
        </w:tc>
        <w:tc>
          <w:tcPr>
            <w:tcW w:w="1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Experiência</w:t>
            </w:r>
          </w:p>
        </w:tc>
        <w:tc>
          <w:tcPr>
            <w:tcW w:w="11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Provar e converter</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Consideração, compra e consumo</w:t>
            </w:r>
          </w:p>
        </w:tc>
        <w:tc>
          <w:tcPr>
            <w:tcW w:w="32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Gera experimentação no momento real de foco e reduz o risco percebido por quem compara com café.</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PDV (geladeira e comunicação funcional)</w:t>
            </w:r>
          </w:p>
        </w:tc>
        <w:tc>
          <w:tcPr>
            <w:tcW w:w="1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Experiência</w:t>
            </w:r>
          </w:p>
        </w:tc>
        <w:tc>
          <w:tcPr>
            <w:tcW w:w="11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Converter</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Compra</w:t>
            </w:r>
          </w:p>
        </w:tc>
        <w:tc>
          <w:tcPr>
            <w:tcW w:w="32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 decisão final acontece ali. Diante do café e de energéticos mais baratos, a comunicação precisa lembrar a ocasião de foco.</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iFood e Rappi (combo, vitrine e cupom)</w:t>
            </w:r>
          </w:p>
        </w:tc>
        <w:tc>
          <w:tcPr>
            <w:tcW w:w="1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Paga</w:t>
            </w:r>
          </w:p>
        </w:tc>
        <w:tc>
          <w:tcPr>
            <w:tcW w:w="11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Converter e reativar</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Compra e fidelização</w:t>
            </w:r>
          </w:p>
        </w:tc>
        <w:tc>
          <w:tcPr>
            <w:tcW w:w="32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Atende quem estuda ou trabalha em casa, inclusive alunos de EaD, e permite medir pedidos e recompra.</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Diário de Bordo (canal de WhatsApp e e-mail com consentimento)</w:t>
            </w:r>
          </w:p>
        </w:tc>
        <w:tc>
          <w:tcPr>
            <w:tcW w:w="1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Própria</w:t>
            </w:r>
          </w:p>
        </w:tc>
        <w:tc>
          <w:tcPr>
            <w:tcW w:w="11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Relacionar e reativar</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Fidelização</w:t>
            </w:r>
          </w:p>
        </w:tc>
        <w:tc>
          <w:tcPr>
            <w:tcW w:w="32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Mantém a marca presente nos picos de demanda (provas, fechamentos) com custo baixo por contato.</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(2026b; 2026c).</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Sequência de contato pretendida:</w:t>
      </w:r>
      <w:r>
        <w:rPr>
          <w:rFonts w:ascii="Times New Roman" w:cs="Times New Roman" w:eastAsia="Times New Roman" w:hAnsi="Times New Roman"/>
          <w:sz w:val="24"/>
          <w:szCs w:val="24"/>
        </w:rPr>
        <w:t xml:space="preserve"> a pessoa assiste a uma “transmissão” de conquista diária (atrair). Depois, é impactada pelo Hub e pelas provas (explicar e provar). Em seguida, experimenta numa ativação ou encontra a geladeira e o combo (converter). Por fim, entra no Diário de Bordo e recebe lembretes antes das semanas de provas (relacionar e reativar). Os canais não disputam o mesmo papel: cada um entrega o público ao seguinte.</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O que ficou de fora e por quê:</w:t>
      </w:r>
      <w:r>
        <w:rPr>
          <w:rFonts w:ascii="Times New Roman" w:cs="Times New Roman" w:eastAsia="Times New Roman" w:hAnsi="Times New Roman"/>
          <w:sz w:val="24"/>
          <w:szCs w:val="24"/>
        </w:rPr>
        <w:t xml:space="preserve"> TV aberta e mídia exterior nacional. Têm custo alto, segmentação fraca para um público específico e são difíceis de medir em um piloto de três meses.</w:t>
      </w:r>
    </w:p>
    <w:p>
      <w:pPr>
        <w:keepNext w:val="1"/>
        <w:spacing w:before="360" w:after="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10. Plano de Ações Integradas</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 ações seguem a ordem recomendada em aula: primeiro os pilares de conteúdo, depois a direção criativa e só então os formatos (SOUZA, 2026c). São sete ações (A1 a A7). Cada uma tem função, promessa, comportamento esperado, sequência de contato, critério de sucesso e indicador (Quadro 10 e Quadro 11).</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10.1 Pilares de conteúdo</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8 – </w:t>
      </w:r>
      <w:r>
        <w:rPr>
          <w:rFonts w:ascii="Times New Roman" w:cs="Times New Roman" w:eastAsia="Times New Roman" w:hAnsi="Times New Roman"/>
          <w:sz w:val="24"/>
          <w:szCs w:val="24"/>
        </w:rPr>
        <w:t xml:space="preserve">Pilares de conteúdo</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
        <w:gridCol w:w="2600"/>
        <w:gridCol w:w="3729"/>
        <w:gridCol w:w="1400"/>
      </w:tblGrid>
      <w:tr>
        <w:trPr>
          <w:cantSplit w:val="1"/>
          <w:tblHeader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Pilar</w:t>
            </w:r>
          </w:p>
        </w:tc>
        <w:tc>
          <w:tcPr>
            <w:tcW w:w="26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Pergunta que responde</w:t>
            </w:r>
          </w:p>
        </w:tc>
        <w:tc>
          <w:tcPr>
            <w:tcW w:w="3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Conteúdo-chave</w:t>
            </w:r>
          </w:p>
        </w:tc>
        <w:tc>
          <w:tcPr>
            <w:tcW w:w="1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Ações</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Educar</w:t>
            </w:r>
          </w:p>
        </w:tc>
        <w:tc>
          <w:tcPr>
            <w:tcW w:w="26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O que o público precisa entender para avançar na decisão?</w:t>
            </w:r>
          </w:p>
        </w:tc>
        <w:tc>
          <w:tcPr>
            <w:tcW w:w="3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Quando usar (momento de foco), composição, comparação com o café, consumo responsável e rotinas de foco</w:t>
            </w:r>
          </w:p>
        </w:tc>
        <w:tc>
          <w:tcPr>
            <w:tcW w:w="1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A2, A7</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Provar</w:t>
            </w:r>
          </w:p>
        </w:tc>
        <w:tc>
          <w:tcPr>
            <w:tcW w:w="26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Que evidências reduzem dúvida e risco?</w:t>
            </w:r>
          </w:p>
        </w:tc>
        <w:tc>
          <w:tcPr>
            <w:tcW w:w="3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Pessoas reais, credenciais da marca e experimentação</w:t>
            </w:r>
          </w:p>
        </w:tc>
        <w:tc>
          <w:tcPr>
            <w:tcW w:w="1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A3, A4</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Inspirar</w:t>
            </w:r>
          </w:p>
        </w:tc>
        <w:tc>
          <w:tcPr>
            <w:tcW w:w="26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Que narrativa conecta com a identidade do público?</w:t>
            </w:r>
          </w:p>
        </w:tc>
        <w:tc>
          <w:tcPr>
            <w:tcW w:w="3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Conquistas diárias narradas como voos (“Todo dia tem um voo”)</w:t>
            </w:r>
          </w:p>
        </w:tc>
        <w:tc>
          <w:tcPr>
            <w:tcW w:w="1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A1</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Converter</w:t>
            </w:r>
          </w:p>
        </w:tc>
        <w:tc>
          <w:tcPr>
            <w:tcW w:w="26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Que convite claro leva ao próximo passo?</w:t>
            </w:r>
          </w:p>
        </w:tc>
        <w:tc>
          <w:tcPr>
            <w:tcW w:w="37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Geladeira na rota do campus e do coworking, combo e cupom de recompra</w:t>
            </w:r>
          </w:p>
        </w:tc>
        <w:tc>
          <w:tcPr>
            <w:tcW w:w="1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A5, A6</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(2026c).</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10.2 Direção criativa</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9 – </w:t>
      </w:r>
      <w:r>
        <w:rPr>
          <w:rFonts w:ascii="Times New Roman" w:cs="Times New Roman" w:eastAsia="Times New Roman" w:hAnsi="Times New Roman"/>
          <w:sz w:val="24"/>
          <w:szCs w:val="24"/>
        </w:rPr>
        <w:t xml:space="preserve">Direção criativa</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6829"/>
      </w:tblGrid>
      <w:tr>
        <w:trPr>
          <w:cantSplit w:val="1"/>
          <w:tblHeader w:val="1"/>
        </w:trPr>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Pergunta</w:t>
            </w:r>
          </w:p>
        </w:tc>
        <w:tc>
          <w:tcPr>
            <w:tcW w:w="68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Decisão</w:t>
            </w:r>
          </w:p>
        </w:tc>
      </w:tr>
      <w:tr>
        <w:trPr>
          <w:cantSplit w:val="1"/>
        </w:trPr>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 que dizemos? (mensagem)</w:t>
            </w:r>
          </w:p>
        </w:tc>
        <w:tc>
          <w:tcPr>
            <w:tcW w:w="68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“Asas para as suas conquistas diárias.” A promessa é energia para o momento de foco que constrói a conquista do dia. Cada ação tem uma mensagem de apoio derivada da central (Quadro 10).</w:t>
            </w:r>
          </w:p>
        </w:tc>
      </w:tr>
      <w:tr>
        <w:trPr>
          <w:cantSplit w:val="1"/>
        </w:trPr>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Como dizemos? (tom de voz)</w:t>
            </w:r>
          </w:p>
        </w:tc>
        <w:tc>
          <w:tcPr>
            <w:tcW w:w="68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Inspirador e próximo, com humor leve e o vocabulário real de quem estuda e trabalha (entrega, prazo, TCC, sprint). Confiante sem exagero: fala da ocasião de uso e não promete efeito sobre o desempenho. Valoriza foco com pausa e não glamoriza noites sem dormir.</w:t>
            </w:r>
          </w:p>
        </w:tc>
      </w:tr>
      <w:tr>
        <w:trPr>
          <w:cantSplit w:val="1"/>
        </w:trPr>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Como mostramos? (identidade visual)</w:t>
            </w:r>
          </w:p>
        </w:tc>
        <w:tc>
          <w:tcPr>
            <w:tcW w:w="68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Mantém os códigos da marca (lata azul e prata, logotipo dos touros), o que garante reconhecimento e preserva a essência. Mecanismo visual próprio: grafismos de transmissão esportiva (cronômetro, altitude, velocidade) sobre cenas reais de biblioteca, home office e coworking, com pessoas diversas de 18 a 35 anos e luz natural.</w:t>
            </w:r>
          </w:p>
        </w:tc>
      </w:tr>
      <w:tr>
        <w:trPr>
          <w:cantSplit w:val="1"/>
        </w:trPr>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Como sustentamos? (provas)</w:t>
            </w:r>
          </w:p>
        </w:tc>
        <w:tc>
          <w:tcPr>
            <w:tcW w:w="68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Provas do Quadro 3 (atributo, benefício e credencial), depoimentos reais com autorização de uso de imagem, composição informada em todas as peças de conversão e aviso de consumo responsável.</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(2026b; 2026c).</w:t>
      </w:r>
    </w:p>
    <w:p>
      <w:pPr>
        <w:spacing w:before="0" w:after="0" w:line="240" w:lineRule="auto"/>
        <w:rPr>
          <w:sz w:val="2"/>
          <w:szCs w:val="2"/>
        </w:rPr>
        <w:sectPr>
          <w:pgSz w:w="11909" w:h="16834" w:orient="portrait"/>
          <w:pgMar w:bottom="1440" w:top="1440" w:left="1440" w:right="1440" w:header="720" w:footer="720"/>
          <w:pgNumType w:start="1"/>
        </w:sectPr>
      </w:pP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10.3 Matriz de ações integradas</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10 – </w:t>
      </w:r>
      <w:r>
        <w:rPr>
          <w:rFonts w:ascii="Times New Roman" w:cs="Times New Roman" w:eastAsia="Times New Roman" w:hAnsi="Times New Roman"/>
          <w:sz w:val="24"/>
          <w:szCs w:val="24"/>
        </w:rPr>
        <w:t xml:space="preserve">Matriz de ações integradas</w:t>
      </w:r>
    </w:p>
    <w:tbl>
      <w:tblPr>
        <w:tblStyle w:val="Table1"/>
        <w:tblW w:w="139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00"/>
        <w:gridCol w:w="1700"/>
        <w:gridCol w:w="1500"/>
        <w:gridCol w:w="1600"/>
        <w:gridCol w:w="2100"/>
        <w:gridCol w:w="1250"/>
        <w:gridCol w:w="1554"/>
        <w:gridCol w:w="1900"/>
      </w:tblGrid>
      <w:tr>
        <w:trPr>
          <w:cantSplit w:val="1"/>
          <w:tblHeader w:val="1"/>
        </w:trPr>
        <w:tc>
          <w:tcPr>
            <w:tcW w:w="13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Ação</w:t>
            </w:r>
          </w:p>
        </w:tc>
        <w:tc>
          <w:tcPr>
            <w:tcW w:w="1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Função</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Objetivo</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Público</w:t>
            </w:r>
          </w:p>
        </w:tc>
        <w:tc>
          <w:tcPr>
            <w:tcW w:w="16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Mensagem</w:t>
            </w:r>
          </w:p>
        </w:tc>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Canal/Formato</w:t>
            </w:r>
          </w:p>
        </w:tc>
        <w:tc>
          <w:tcPr>
            <w:tcW w:w="12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Etapa da jornada</w:t>
            </w:r>
          </w:p>
        </w:tc>
        <w:tc>
          <w:tcPr>
            <w:tcW w:w="15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Responsável</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KPI</w:t>
            </w:r>
          </w:p>
        </w:tc>
      </w:tr>
      <w:tr>
        <w:trPr>
          <w:cantSplit w:val="1"/>
        </w:trPr>
        <w:tc>
          <w:tcPr>
            <w:tcW w:w="13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A1 Transmissões do Dia a Dia</w:t>
            </w:r>
          </w:p>
        </w:tc>
        <w:tc>
          <w:tcPr>
            <w:tcW w:w="1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Atrair (Inspirar)</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Ampliar a associação da marca a foco, estudo e trabalho no público que hoje não a considera</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Público frio: universitários, trabalhadores remotos e profissionais do conhecimento de 18 a 35 anos</w:t>
            </w:r>
          </w:p>
        </w:tc>
        <w:tc>
          <w:tcPr>
            <w:tcW w:w="16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“Todo dia tem um voo. Asas para as suas conquistas diárias.”</w:t>
            </w:r>
          </w:p>
        </w:tc>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TikTok, Reels e Shorts: 12 vídeos de 30 a 60 s com 6 criadores (estudo, programação, design, trabalho remoto), narrados como transmissão esportiva; versão longa no YouTube; mídia paga segmentada</w:t>
            </w:r>
          </w:p>
        </w:tc>
        <w:tc>
          <w:tcPr>
            <w:tcW w:w="12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Descoberta</w:t>
            </w:r>
          </w:p>
        </w:tc>
        <w:tc>
          <w:tcPr>
            <w:tcW w:w="15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Gerência de Marca (apoio: Red Bull Media House e agência de conteúdo)</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Alcance qualificado; retenção de 75% do vídeo; lift de associação (painel 1, 2 e 3)</w:t>
            </w:r>
          </w:p>
        </w:tc>
      </w:tr>
      <w:tr>
        <w:trPr>
          <w:cantSplit w:val="1"/>
        </w:trPr>
        <w:tc>
          <w:tcPr>
            <w:tcW w:w="13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A2 Hub Modo Foco</w:t>
            </w:r>
          </w:p>
        </w:tc>
        <w:tc>
          <w:tcPr>
            <w:tcW w:w="1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Explicar (Educar)</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Tirar dúvidas de uso, composição e consumo responsável e levar à compra</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Público morno: quem interagiu com A1 ou buscou o tema</w:t>
            </w:r>
          </w:p>
        </w:tc>
        <w:tc>
          <w:tcPr>
            <w:tcW w:w="16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“Sua conquista de hoje tem método: foco, pausa e energia na medida.”</w:t>
            </w:r>
          </w:p>
        </w:tc>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Página no site da Red Bull Brasil (guias de rotina de foco, comparação com café, composição, perguntas frequentes, links para iFood, Rappi e PDV); playlist Modo Foco; carrosséis; remarketing</w:t>
            </w:r>
          </w:p>
        </w:tc>
        <w:tc>
          <w:tcPr>
            <w:tcW w:w="12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Consideração</w:t>
            </w:r>
          </w:p>
        </w:tc>
        <w:tc>
          <w:tcPr>
            <w:tcW w:w="15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Digital/CRM (apoio: agência digital; validação do Regulatório)</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Visitas qualificadas; taxa de clique para compra (painel 4 e 5)</w:t>
            </w:r>
          </w:p>
        </w:tc>
      </w:tr>
      <w:tr>
        <w:trPr>
          <w:cantSplit w:val="1"/>
        </w:trPr>
        <w:tc>
          <w:tcPr>
            <w:tcW w:w="13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A3 Conquistas Reais</w:t>
            </w:r>
          </w:p>
        </w:tc>
        <w:tc>
          <w:tcPr>
            <w:tcW w:w="1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Provar</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Reduzir o “isso não é para mim” com pessoas reais e credibilidade de terceiros</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Público morno e quente</w:t>
            </w:r>
          </w:p>
        </w:tc>
        <w:tc>
          <w:tcPr>
            <w:tcW w:w="16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“Gente como você, voos como os seus.”</w:t>
            </w:r>
          </w:p>
        </w:tc>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Chamada #MeuVooDeHoje para conteúdo de usuários (com regulamento e curadoria); depoimentos em stories; pauta de imprensa com dados da pesquisa de linha de base; histórias de participantes brasileiros do Red Bull Basement</w:t>
            </w:r>
          </w:p>
        </w:tc>
        <w:tc>
          <w:tcPr>
            <w:tcW w:w="12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Consideração</w:t>
            </w:r>
          </w:p>
        </w:tc>
        <w:tc>
          <w:tcPr>
            <w:tcW w:w="15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Comunicação/RP (apoio: agência de social e Gerência de Marca)</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Participação qualificada por mil pessoas alcançadas; sentimento e share of voice no tema foco e estudo (painel 3 e 4)</w:t>
            </w:r>
          </w:p>
        </w:tc>
      </w:tr>
      <w:tr>
        <w:trPr>
          <w:cantSplit w:val="1"/>
        </w:trPr>
        <w:tc>
          <w:tcPr>
            <w:tcW w:w="13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A4 Pausa com Asas</w:t>
            </w:r>
          </w:p>
        </w:tc>
        <w:tc>
          <w:tcPr>
            <w:tcW w:w="1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Provar e converter</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Gerar experimentação no momento real de foco e transformá-la em primeira compra</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Universitários maiores de 18 anos e usuários de coworkings nas 5 praças, em semanas de provas e entregas</w:t>
            </w:r>
          </w:p>
        </w:tc>
        <w:tc>
          <w:tcPr>
            <w:tcW w:w="16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“Sua pausa estratégica antes do próximo voo.”</w:t>
            </w:r>
          </w:p>
        </w:tc>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Estações de pausa em bibliotecas, áreas de convivência e coworkings parceiros: lata gelada com checagem de idade, tomadas, cartão com rotina de foco, QR para o Hub e cupom no aplicativo</w:t>
            </w:r>
          </w:p>
        </w:tc>
        <w:tc>
          <w:tcPr>
            <w:tcW w:w="12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Consideração, compra e consumo</w:t>
            </w:r>
          </w:p>
        </w:tc>
        <w:tc>
          <w:tcPr>
            <w:tcW w:w="15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Trade/Field Marketing (apoio: agência de promoção e embaixadores universitários)</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Taxa de resgate do cupom; custo por experimentação (painel 5)</w:t>
            </w:r>
          </w:p>
        </w:tc>
      </w:tr>
      <w:tr>
        <w:trPr>
          <w:cantSplit w:val="1"/>
        </w:trPr>
        <w:tc>
          <w:tcPr>
            <w:tcW w:w="13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A5 Seu Próximo Voo (PDV)</w:t>
            </w:r>
          </w:p>
        </w:tc>
        <w:tc>
          <w:tcPr>
            <w:tcW w:w="1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Converter</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Lembrar a ocasião de foco no momento da decisão e converter consideração em compra</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Público quente e passantes do público prioritário em lojas perto de universidades, coworkings e escritórios</w:t>
            </w:r>
          </w:p>
        </w:tc>
        <w:tc>
          <w:tcPr>
            <w:tcW w:w="16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“Seu próximo voo: a entrega de hoje.”</w:t>
            </w:r>
          </w:p>
        </w:tc>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Testeira e adesivo de geladeira, wobbler, display de caixa, combo lata + snack e QR para o Hub nas lojas participantes; lojas semelhantes sem material como grupo de controle</w:t>
            </w:r>
          </w:p>
        </w:tc>
        <w:tc>
          <w:tcPr>
            <w:tcW w:w="12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Compra</w:t>
            </w:r>
          </w:p>
        </w:tc>
        <w:tc>
          <w:tcPr>
            <w:tcW w:w="15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Trade Marketing (apoio: distribuidores e redes varejistas)</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Vendas nas lojas participantes em relação às lojas-controle (painel 5)</w:t>
            </w:r>
          </w:p>
        </w:tc>
      </w:tr>
      <w:tr>
        <w:trPr>
          <w:cantSplit w:val="1"/>
        </w:trPr>
        <w:tc>
          <w:tcPr>
            <w:tcW w:w="13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A6 Combo Momento de Foco</w:t>
            </w:r>
          </w:p>
        </w:tc>
        <w:tc>
          <w:tcPr>
            <w:tcW w:w="1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Converter e reativar</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Facilitar a compra em casa, no horário de estudo ou trabalho, e estimular a recompra</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Público quente que estuda ou trabalha em casa (inclui EaD e trabalho remoto)</w:t>
            </w:r>
          </w:p>
        </w:tc>
        <w:tc>
          <w:tcPr>
            <w:tcW w:w="16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“Dia de entrega? Seu combo de foco chega antes do prazo.”</w:t>
            </w:r>
          </w:p>
        </w:tc>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iFood e Rappi: combo Red Bull + snack, vitrine patrocinada e banners, cupom de primeira compra (vindo de A4) e de recompra em 30 dias, notificações nas semanas de provas</w:t>
            </w:r>
          </w:p>
        </w:tc>
        <w:tc>
          <w:tcPr>
            <w:tcW w:w="12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Compra e fidelização</w:t>
            </w:r>
          </w:p>
        </w:tc>
        <w:tc>
          <w:tcPr>
            <w:tcW w:w="15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E-commerce/Key Account (apoio: parceiros e Digital)</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Pedidos do combo; recompra em 30 dias (painel 5 e 6)</w:t>
            </w:r>
          </w:p>
        </w:tc>
      </w:tr>
      <w:tr>
        <w:trPr>
          <w:cantSplit w:val="1"/>
        </w:trPr>
        <w:tc>
          <w:tcPr>
            <w:tcW w:w="13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A7 Diário de Bordo</w:t>
            </w:r>
          </w:p>
        </w:tc>
        <w:tc>
          <w:tcPr>
            <w:tcW w:w="1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Relacionar e reativar (Educar)</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Manter viva a nova associação após a compra e reativar o consumo nos picos de demanda</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Clientes e interessados que deram consentimento (Hub, QR do PDV e da ativação)</w:t>
            </w:r>
          </w:p>
        </w:tc>
        <w:tc>
          <w:tcPr>
            <w:tcW w:w="16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“Registre seus voos da semana. A gente te dá asas para o próximo.”</w:t>
            </w:r>
          </w:p>
        </w:tc>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Canal de WhatsApp e e-mail: plano da semana (rotina de foco), lembrete antes das provas, cupom de recompra, desafio mensal com destaque nas redes</w:t>
            </w:r>
          </w:p>
        </w:tc>
        <w:tc>
          <w:tcPr>
            <w:tcW w:w="125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Fidelização</w:t>
            </w:r>
          </w:p>
        </w:tc>
        <w:tc>
          <w:tcPr>
            <w:tcW w:w="15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Digital/CRM (apoio: agência de CRM; Jurídico para a LGPD)</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Base ativa; recompra de membros em relação a não membros (painel 6)</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(2026a; 2026c). “Painel” remete aos indicadores da seção 13.</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10.4 Por que cada ação existe</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11 – </w:t>
      </w:r>
      <w:r>
        <w:rPr>
          <w:rFonts w:ascii="Times New Roman" w:cs="Times New Roman" w:eastAsia="Times New Roman" w:hAnsi="Times New Roman"/>
          <w:sz w:val="24"/>
          <w:szCs w:val="24"/>
        </w:rPr>
        <w:t xml:space="preserve">Lógica de cada ação: função, promessa, comportamento, sequência e sucesso</w:t>
      </w:r>
    </w:p>
    <w:tbl>
      <w:tblPr>
        <w:tblStyle w:val="Table1"/>
        <w:tblW w:w="139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3200"/>
        <w:gridCol w:w="1900"/>
        <w:gridCol w:w="2200"/>
        <w:gridCol w:w="2500"/>
        <w:gridCol w:w="2754"/>
      </w:tblGrid>
      <w:tr>
        <w:trPr>
          <w:cantSplit w:val="1"/>
          <w:tblHeader w:val="1"/>
        </w:trPr>
        <w:tc>
          <w:tcPr>
            <w:tcW w:w="14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Ação</w:t>
            </w:r>
          </w:p>
        </w:tc>
        <w:tc>
          <w:tcPr>
            <w:tcW w:w="3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Por que existe na estratégia</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Promessa</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Comportamento esperado</w:t>
            </w:r>
          </w:p>
        </w:tc>
        <w:tc>
          <w:tcPr>
            <w:tcW w:w="2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Sequência de contato</w:t>
            </w:r>
          </w:p>
        </w:tc>
        <w:tc>
          <w:tcPr>
            <w:tcW w:w="2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Critério de sucesso</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A1 Transmissões do Dia a Dia</w:t>
            </w:r>
          </w:p>
        </w:tc>
        <w:tc>
          <w:tcPr>
            <w:tcW w:w="3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O problema é de percepção: a associação exclusiva ao radical. Sem ressignificar o “voar”, as ações de conversão falariam com quem ainda acha que o produto não é para si.</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Suas conquistas diárias também são voos, e a Red Bull está nelas.</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Assistir até o fim, salvar, compartilhar e visitar o Hub.</w:t>
            </w:r>
          </w:p>
        </w:tc>
        <w:tc>
          <w:tcPr>
            <w:tcW w:w="2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Primeiro contato. Quem assiste a 50% ou mais do vídeo recebe remarketing de A2 e A3.</w:t>
            </w:r>
          </w:p>
        </w:tc>
        <w:tc>
          <w:tcPr>
            <w:tcW w:w="2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Lift de associação significativo entre expostos e não expostos; retenção acima da linha de base (painel 2 e 3).</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A2 Hub Modo Foco</w:t>
            </w:r>
          </w:p>
        </w:tc>
        <w:tc>
          <w:tcPr>
            <w:tcW w:w="3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O insight revela dúvidas práticas (o café não resolve? quanto é demais?). Sem explicação, o interesse gerado por A1 não vira consideração.</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Energia com método para o seu momento de foco.</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Ler ou salvar o guia; clicar para comprar; entrar no Diário de Bordo.</w:t>
            </w:r>
          </w:p>
        </w:tc>
        <w:tc>
          <w:tcPr>
            <w:tcW w:w="2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Recebe tráfego de A1, A3 e A4 (QR). Envia para A5, A6 e A7.</w:t>
            </w:r>
          </w:p>
        </w:tc>
        <w:tc>
          <w:tcPr>
            <w:tcW w:w="2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Clique para compra em pelo menos 8% das visitas qualificadas (meta fictícia).</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A3 Conquistas Reais</w:t>
            </w:r>
          </w:p>
        </w:tc>
        <w:tc>
          <w:tcPr>
            <w:tcW w:w="3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Testa a hipótese 2 da Parte 1 (o conteúdo gera alcance orgânico) no novo território. A prova social reduz a resistência descrita no insight.</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Pessoas como você já usam Red Bull nas suas conquistas.</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Publicar a própria conquista com #MeuVooDeHoje, comentar e compartilhar.</w:t>
            </w:r>
          </w:p>
        </w:tc>
        <w:tc>
          <w:tcPr>
            <w:tcW w:w="2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Alimenta A1 (as melhores histórias viram vídeo) e A7 (convite para a comunidade).</w:t>
            </w:r>
          </w:p>
        </w:tc>
        <w:tc>
          <w:tcPr>
            <w:tcW w:w="2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Participação qualificada crescente a cada onda; sentimento positivo em pelo menos 70% das menções no tema (meta fictícia).</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A4 Pausa com Asas</w:t>
            </w:r>
          </w:p>
        </w:tc>
        <w:tc>
          <w:tcPr>
            <w:tcW w:w="3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Os diferenciais citados na Parte 2 (sabor, consistência, conveniência) só são percebidos na experiência. Experimentar reduz o risco percebido por quem compara com café.</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Uma pausa que devolve você ao foco.</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Experimentar, escanear o QR e resgatar o cupom em até 7 dias.</w:t>
            </w:r>
          </w:p>
        </w:tc>
        <w:tc>
          <w:tcPr>
            <w:tcW w:w="2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Acontece depois de A1 e A2, quando o público já ouviu falar da campanha. Leva a A6 (cupom) e a A7.</w:t>
            </w:r>
          </w:p>
        </w:tc>
        <w:tc>
          <w:tcPr>
            <w:tcW w:w="2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Resgate do cupom em pelo menos 15% das amostras (meta fictícia).</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A5 Seu Próximo Voo (PDV)</w:t>
            </w:r>
          </w:p>
        </w:tc>
        <w:tc>
          <w:tcPr>
            <w:tcW w:w="3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Preço premium e concorrência do café e de energéticos de baixo custo. No PDV a escolha é rápida: a marca precisa lembrar a ocasião de foco, e não disputar preço.</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Energia para a entrega de hoje, já gelada.</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Comprar a lata ou o combo na loja.</w:t>
            </w:r>
          </w:p>
        </w:tc>
        <w:tc>
          <w:tcPr>
            <w:tcW w:w="2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Vem depois de A1 a A4. O QR leva a A2 e A7.</w:t>
            </w:r>
          </w:p>
        </w:tc>
        <w:tc>
          <w:tcPr>
            <w:tcW w:w="2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Vendas das lojas participantes acima das lojas-controle (meta do painel 5).</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A6 Combo Momento de Foco</w:t>
            </w:r>
          </w:p>
        </w:tc>
        <w:tc>
          <w:tcPr>
            <w:tcW w:w="3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 Parte 2 já previa os aplicativos na fidelização. Como metade das matrículas está em EaD e 9,5 milhões de pessoas trabalham remotamente (complemento A), o momento de foco acontece em casa.</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O seu momento de foco, entregue.</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Pedir o combo e repetir o pedido em até 30 dias.</w:t>
            </w:r>
          </w:p>
        </w:tc>
        <w:tc>
          <w:tcPr>
            <w:tcW w:w="2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Recebe cupons de A4 e tráfego de A2. É reativada por A7.</w:t>
            </w:r>
          </w:p>
        </w:tc>
        <w:tc>
          <w:tcPr>
            <w:tcW w:w="2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Recompra em 30 dias na meta do painel 6; pedidos crescentes nas semanas de provas.</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A7 Diário de Bordo</w:t>
            </w:r>
          </w:p>
        </w:tc>
        <w:tc>
          <w:tcPr>
            <w:tcW w:w="3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 fidelização prevista na jornada (associar a marca ao estilo de vida diário) exige contato recorrente. Sem ele, a marca só é lembrada no próximo aperto.</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Acompanhar a sua rotina de conquistas.</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Permanecer na base, registrar metas e voltar a comprar.</w:t>
            </w:r>
          </w:p>
        </w:tc>
        <w:tc>
          <w:tcPr>
            <w:tcW w:w="2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Recebe contatos de A2, A4 e A5. Reativa compras em A6.</w:t>
            </w:r>
          </w:p>
        </w:tc>
        <w:tc>
          <w:tcPr>
            <w:tcW w:w="2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Recompra dos membros maior que a dos não membros; descadastro de no máximo 5% ao mês (meta fictícia).</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(2026c).</w:t>
      </w:r>
    </w:p>
    <w:p>
      <w:pPr>
        <w:spacing w:before="0" w:after="0" w:line="240" w:lineRule="auto"/>
        <w:rPr>
          <w:sz w:val="2"/>
          <w:szCs w:val="2"/>
        </w:rPr>
        <w:sectPr>
          <w:pgSz w:w="16834" w:h="11909" w:orient="landscape"/>
          <w:pgMar w:bottom="1440" w:top="1440" w:left="1440" w:right="1440" w:header="720" w:footer="720"/>
        </w:sectPr>
      </w:pPr>
    </w:p>
    <w:p>
      <w:pPr>
        <w:keepNext w:val="1"/>
        <w:spacing w:before="360" w:after="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 Cronograma e Responsabilidades</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 cronograma é organizado em ondas, para que o público receba a mensagem na ordem certa: primeiro a atenção e a nova associação, depois a explicação e as provas, então o convite à compra e, por fim, o relacionamento (SOUZA, 2026c).</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12 – </w:t>
      </w:r>
      <w:r>
        <w:rPr>
          <w:rFonts w:ascii="Times New Roman" w:cs="Times New Roman" w:eastAsia="Times New Roman" w:hAnsi="Times New Roman"/>
          <w:sz w:val="24"/>
          <w:szCs w:val="24"/>
        </w:rPr>
        <w:t xml:space="preserve">Ondas de comunicação</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
        <w:gridCol w:w="1000"/>
        <w:gridCol w:w="3229"/>
        <w:gridCol w:w="1300"/>
        <w:gridCol w:w="2200"/>
      </w:tblGrid>
      <w:tr>
        <w:trPr>
          <w:cantSplit w:val="1"/>
          <w:tblHeader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Onda</w:t>
            </w:r>
          </w:p>
        </w:tc>
        <w:tc>
          <w:tcPr>
            <w:tcW w:w="1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Semanas</w:t>
            </w:r>
          </w:p>
        </w:tc>
        <w:tc>
          <w:tcPr>
            <w:tcW w:w="3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 que acontece</w:t>
            </w:r>
          </w:p>
        </w:tc>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Ações</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 que o público recebe</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 Preparar</w:t>
            </w:r>
          </w:p>
        </w:tc>
        <w:tc>
          <w:tcPr>
            <w:tcW w:w="1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S1 a S3</w:t>
            </w:r>
          </w:p>
        </w:tc>
        <w:tc>
          <w:tcPr>
            <w:tcW w:w="3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Contratação e briefing dos criadores; produção dos 6 primeiros vídeos, do Hub e das peças de PDV; acordos com iFood, Rappi, universidades e coworkings; revisão jurídica e regulatória; pesquisa de linha de base; montagem do painel</w:t>
            </w:r>
          </w:p>
        </w:tc>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Todas (bastidores)</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Nada: o público ainda não é exposto</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2. Lançar</w:t>
            </w:r>
          </w:p>
        </w:tc>
        <w:tc>
          <w:tcPr>
            <w:tcW w:w="1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S4 a S6</w:t>
            </w:r>
          </w:p>
        </w:tc>
        <w:tc>
          <w:tcPr>
            <w:tcW w:w="3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Estreia dos 6 primeiros vídeos com mídia de alcance; Hub no ar; pauta de imprensa; PDV instalado até a S6; produção dos outros 6 vídeos</w:t>
            </w:r>
          </w:p>
        </w:tc>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A1, A2, A3, A5</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Atenção e nova associação: “Todo dia tem um voo”</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3. Sustentar</w:t>
            </w:r>
          </w:p>
        </w:tc>
        <w:tc>
          <w:tcPr>
            <w:tcW w:w="1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S7 a S9</w:t>
            </w:r>
          </w:p>
        </w:tc>
        <w:tc>
          <w:tcPr>
            <w:tcW w:w="3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Mais 6 vídeos; chamada #MeuVooDeHoje e depoimentos; remarketing para o Hub; combo no ar nos aplicativos; abertura do Diário de Bordo</w:t>
            </w:r>
          </w:p>
        </w:tc>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A1, A2, A3, A6, A7</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Explicação e provas: como usar, quem já usa, por que confiar</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4. Converter</w:t>
            </w:r>
          </w:p>
        </w:tc>
        <w:tc>
          <w:tcPr>
            <w:tcW w:w="1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S10 a S12</w:t>
            </w:r>
          </w:p>
        </w:tc>
        <w:tc>
          <w:tcPr>
            <w:tcW w:w="3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Pausa com Asas nas semanas de provas; vitrine e cupons nos aplicativos; PDV com combo; lembretes do Diário de Bordo</w:t>
            </w:r>
          </w:p>
        </w:tc>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A4, A5, A6, A7</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Convite claro: experimentar e comprar no momento de foco</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5. Aprender</w:t>
            </w:r>
          </w:p>
        </w:tc>
        <w:tc>
          <w:tcPr>
            <w:tcW w:w="1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S13 (com pontos de controle em S6 e S9)</w:t>
            </w:r>
          </w:p>
        </w:tc>
        <w:tc>
          <w:tcPr>
            <w:tcW w:w="3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Pesquisa pós-campanha; leitura final do painel; relatório com a decisão de manter, ajustar, escalar ou encerrar cada ação</w:t>
            </w:r>
          </w:p>
        </w:tc>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Painel e pesquisas</w:t>
            </w:r>
          </w:p>
        </w:tc>
        <w:tc>
          <w:tcPr>
            <w:tcW w:w="22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Relacionamento contínuo pelo Diário de Bordo</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(2026c).</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Viabilidade:</w:t>
      </w:r>
      <w:r>
        <w:rPr>
          <w:rFonts w:ascii="Times New Roman" w:cs="Times New Roman" w:eastAsia="Times New Roman" w:hAnsi="Times New Roman"/>
          <w:sz w:val="24"/>
          <w:szCs w:val="24"/>
        </w:rPr>
        <w:t xml:space="preserve"> três semanas de preparação são suficientes porque o plano usa ativos que a marca já tem (identidade visual, Red Bull Media House, rede de distribuição e geladeiras instaladas). As peças de PDV são adaptações, como adesivos e testeiras, e não equipamentos novos. Os vídeos são produzidos em dois lotes, para que o segundo já incorpore o aprendizado do primeiro.</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13 – </w:t>
      </w:r>
      <w:r>
        <w:rPr>
          <w:rFonts w:ascii="Times New Roman" w:cs="Times New Roman" w:eastAsia="Times New Roman" w:hAnsi="Times New Roman"/>
          <w:sz w:val="24"/>
          <w:szCs w:val="24"/>
        </w:rPr>
        <w:t xml:space="preserve">Cronograma semanal das ações</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40"/>
        <w:gridCol w:w="540"/>
        <w:gridCol w:w="540"/>
        <w:gridCol w:w="540"/>
        <w:gridCol w:w="540"/>
        <w:gridCol w:w="540"/>
        <w:gridCol w:w="540"/>
        <w:gridCol w:w="540"/>
        <w:gridCol w:w="540"/>
        <w:gridCol w:w="540"/>
        <w:gridCol w:w="540"/>
        <w:gridCol w:w="540"/>
        <w:gridCol w:w="849"/>
      </w:tblGrid>
      <w:tr>
        <w:trPr>
          <w:cantSplit w:val="1"/>
          <w:tblHeader w:val="1"/>
        </w:trPr>
        <w:tc>
          <w:tcPr>
            <w:tcW w:w="170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Ação</w:t>
            </w:r>
          </w:p>
        </w:tc>
        <w:tc>
          <w:tcPr>
            <w:tcW w:w="1620" w:type="dxa"/>
            <w:gridSpan w:val="3"/>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Preparar</w:t>
            </w:r>
          </w:p>
        </w:tc>
        <w:tc>
          <w:tcPr>
            <w:tcW w:w="1620" w:type="dxa"/>
            <w:gridSpan w:val="3"/>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Lançar</w:t>
            </w:r>
          </w:p>
        </w:tc>
        <w:tc>
          <w:tcPr>
            <w:tcW w:w="1620" w:type="dxa"/>
            <w:gridSpan w:val="3"/>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Sustentar</w:t>
            </w:r>
          </w:p>
        </w:tc>
        <w:tc>
          <w:tcPr>
            <w:tcW w:w="1620" w:type="dxa"/>
            <w:gridSpan w:val="3"/>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Converter</w:t>
            </w:r>
          </w:p>
        </w:tc>
        <w:tc>
          <w:tcPr>
            <w:tcW w:w="849"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Aprender</w:t>
            </w:r>
          </w:p>
        </w:tc>
      </w:tr>
      <w:tr>
        <w:trPr>
          <w:cantSplit w:val="1"/>
          <w:tblHeader w:val="1"/>
        </w:trPr>
        <w:tc>
          <w:tcPr>
            <w:tcW w:w="170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rPr>
                <w:rFonts w:ascii="Times New Roman" w:cs="Times New Roman" w:eastAsia="Times New Roman" w:hAnsi="Times New Roman"/>
                <w:b w:val="1"/>
                <w:bCs w:val="1"/>
                <w:sz w:val="18"/>
                <w:szCs w:val="18"/>
              </w:rPr>
            </w:pP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S1</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S2</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S3</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S4</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S5</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S6</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S7</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S8</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S9</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S10</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S11</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S12</w:t>
            </w:r>
          </w:p>
        </w:tc>
        <w:tc>
          <w:tcPr>
            <w:tcW w:w="849"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center"/>
          </w:tcPr>
          <w:p>
            <w:pPr>
              <w:keepNext w:val="1"/>
              <w:spacing w:before="0" w:after="0" w:line="240"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S13</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A1 Transmissões do Dia a Dia</w:t>
            </w: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849"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A2 Hub Modo Foco</w:t>
            </w: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849"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A3 Conquistas Reais</w:t>
            </w: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849"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A4 Pausa com Asas</w:t>
            </w: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849"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A5 Seu Próximo Voo (PDV)</w:t>
            </w: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849"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A6 Combo Momento de Foco</w:t>
            </w: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849"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A7 Diário de Bordo</w:t>
            </w: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849"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40" w:type="dxa"/>
              <w:bottom w:w="50" w:type="dxa"/>
              <w:right w:w="4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Painel e pesquisas</w:t>
            </w: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D9D9D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color w:val="FFFFFF"/>
                <w:sz w:val="16"/>
                <w:szCs w:val="16"/>
              </w:rPr>
              <w:t xml:space="preserve">PC</w:t>
            </w: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color w:val="FFFFFF"/>
                <w:sz w:val="16"/>
                <w:szCs w:val="16"/>
              </w:rPr>
              <w:t xml:space="preserve">PC</w:t>
            </w: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540"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sz w:val="16"/>
                <w:szCs w:val="16"/>
              </w:rPr>
            </w:pPr>
          </w:p>
        </w:tc>
        <w:tc>
          <w:tcPr>
            <w:tcW w:w="849" w:type="dxa"/>
            <w:tcBorders>
              <w:top w:color="c4c7c5" w:space="0" w:sz="6" w:val="single"/>
              <w:left w:color="c4c7c5" w:space="0" w:sz="6" w:val="single"/>
              <w:bottom w:color="c4c7c5" w:space="0" w:sz="6" w:val="single"/>
              <w:right w:color="c4c7c5" w:space="0" w:sz="6" w:val="single"/>
            </w:tcBorders>
            <w:shd w:val="clear" w:color="auto" w:fill="595959"/>
            <w:tcMar>
              <w:top w:w="50" w:type="dxa"/>
              <w:left w:w="40" w:type="dxa"/>
              <w:bottom w:w="50" w:type="dxa"/>
              <w:right w:w="40" w:type="dxa"/>
            </w:tcMar>
            <w:vAlign w:val="top"/>
          </w:tcPr>
          <w:p>
            <w:pPr>
              <w:keepNext w:val="1"/>
              <w:spacing w:before="0" w:after="0" w:line="240" w:lineRule="auto"/>
              <w:jc w:val="center"/>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color w:val="FFFFFF"/>
                <w:sz w:val="16"/>
                <w:szCs w:val="16"/>
              </w:rPr>
              <w:t xml:space="preserve">PC</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Legenda: cinza-claro = preparação e produção; cinza-escuro = ação no ar; PC = ponto de controle (S6 e S9) e avaliação final (S13). Fonte: elaborado pelo grupo (2026).</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11.1 Governança</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14 – </w:t>
      </w:r>
      <w:r>
        <w:rPr>
          <w:rFonts w:ascii="Times New Roman" w:cs="Times New Roman" w:eastAsia="Times New Roman" w:hAnsi="Times New Roman"/>
          <w:sz w:val="24"/>
          <w:szCs w:val="24"/>
        </w:rPr>
        <w:t xml:space="preserve">Responsabilidades, aprovação, prazo e risco</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350"/>
        <w:gridCol w:w="1500"/>
        <w:gridCol w:w="1300"/>
        <w:gridCol w:w="1100"/>
        <w:gridCol w:w="2279"/>
      </w:tblGrid>
      <w:tr>
        <w:trPr>
          <w:cantSplit w:val="1"/>
          <w:tblHeader w:val="1"/>
        </w:trPr>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Entrega</w:t>
            </w:r>
          </w:p>
        </w:tc>
        <w:tc>
          <w:tcPr>
            <w:tcW w:w="135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Responsável</w:t>
            </w:r>
          </w:p>
        </w:tc>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Apoio</w:t>
            </w:r>
          </w:p>
        </w:tc>
        <w:tc>
          <w:tcPr>
            <w:tcW w:w="13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Aprovação</w:t>
            </w:r>
          </w:p>
        </w:tc>
        <w:tc>
          <w:tcPr>
            <w:tcW w:w="11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Prazo</w:t>
            </w:r>
          </w:p>
        </w:tc>
        <w:tc>
          <w:tcPr>
            <w:tcW w:w="2279"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Risco e mitigação</w:t>
            </w:r>
          </w:p>
        </w:tc>
      </w:tr>
      <w:tr>
        <w:trPr>
          <w:cantSplit w:val="1"/>
        </w:trPr>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A1 Transmissões do Dia a Dia</w:t>
            </w:r>
          </w:p>
        </w:tc>
        <w:tc>
          <w:tcPr>
            <w:tcW w:w="135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Gerência de Marca</w:t>
            </w:r>
          </w:p>
        </w:tc>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Red Bull Media House, agência de conteúdo, criadores</w:t>
            </w:r>
          </w:p>
        </w:tc>
        <w:tc>
          <w:tcPr>
            <w:tcW w:w="13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Diretoria de Marketing e Regulatório</w:t>
            </w:r>
          </w:p>
        </w:tc>
        <w:tc>
          <w:tcPr>
            <w:tcW w:w="11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Lote 1 até S3; lote 2 até S6</w:t>
            </w:r>
          </w:p>
        </w:tc>
        <w:tc>
          <w:tcPr>
            <w:tcW w:w="2279"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Criador envolvido em polêmica ou que glamorize noites sem dormir. Mitigação: contrato com cláusulas de conduta, roteiro aprovado e aviso de consumo responsável.</w:t>
            </w:r>
          </w:p>
        </w:tc>
      </w:tr>
      <w:tr>
        <w:trPr>
          <w:cantSplit w:val="1"/>
        </w:trPr>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A2 Hub Modo Foco</w:t>
            </w:r>
          </w:p>
        </w:tc>
        <w:tc>
          <w:tcPr>
            <w:tcW w:w="135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Digital/CRM</w:t>
            </w:r>
          </w:p>
        </w:tc>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Agência digital, TI</w:t>
            </w:r>
          </w:p>
        </w:tc>
        <w:tc>
          <w:tcPr>
            <w:tcW w:w="13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Regulatório</w:t>
            </w:r>
          </w:p>
        </w:tc>
        <w:tc>
          <w:tcPr>
            <w:tcW w:w="11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No ar na S4</w:t>
            </w:r>
          </w:p>
        </w:tc>
        <w:tc>
          <w:tcPr>
            <w:tcW w:w="2279"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Alegação funcional indevida, como prometer melhora de desempenho. Mitigação: falar da ocasião de uso, com texto revisado.</w:t>
            </w:r>
          </w:p>
        </w:tc>
      </w:tr>
      <w:tr>
        <w:trPr>
          <w:cantSplit w:val="1"/>
        </w:trPr>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A3 Conquistas Reais</w:t>
            </w:r>
          </w:p>
        </w:tc>
        <w:tc>
          <w:tcPr>
            <w:tcW w:w="135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Comunicação/RP</w:t>
            </w:r>
          </w:p>
        </w:tc>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Agência de social, Gerência de Marca</w:t>
            </w:r>
          </w:p>
        </w:tc>
        <w:tc>
          <w:tcPr>
            <w:tcW w:w="13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Diretoria de Marketing</w:t>
            </w:r>
          </w:p>
        </w:tc>
        <w:tc>
          <w:tcPr>
            <w:tcW w:w="11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Pauta na S4; conteúdo de usuários de S7 a S12</w:t>
            </w:r>
          </w:p>
        </w:tc>
        <w:tc>
          <w:tcPr>
            <w:tcW w:w="2279"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Conteúdo com consumo excessivo ou com menores de idade. Mitigação: regulamento só para maiores de 18, moderação e autorização de uso de imagem.</w:t>
            </w:r>
          </w:p>
        </w:tc>
      </w:tr>
      <w:tr>
        <w:trPr>
          <w:cantSplit w:val="1"/>
        </w:trPr>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A4 Pausa com Asas</w:t>
            </w:r>
          </w:p>
        </w:tc>
        <w:tc>
          <w:tcPr>
            <w:tcW w:w="135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Trade/Field Marketing</w:t>
            </w:r>
          </w:p>
        </w:tc>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Agência de promoção, embaixadores</w:t>
            </w:r>
          </w:p>
        </w:tc>
        <w:tc>
          <w:tcPr>
            <w:tcW w:w="13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Jurídico e instituições parceiras</w:t>
            </w:r>
          </w:p>
        </w:tc>
        <w:tc>
          <w:tcPr>
            <w:tcW w:w="11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Acordos até S3; execução de S10 a S12</w:t>
            </w:r>
          </w:p>
        </w:tc>
        <w:tc>
          <w:tcPr>
            <w:tcW w:w="2279"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Instituição não autorizar a ação. Mitigação: priorizar coworkings e o entorno dos campi; checagem de idade.</w:t>
            </w:r>
          </w:p>
        </w:tc>
      </w:tr>
      <w:tr>
        <w:trPr>
          <w:cantSplit w:val="1"/>
        </w:trPr>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A5 Seu Próximo Voo (PDV)</w:t>
            </w:r>
          </w:p>
        </w:tc>
        <w:tc>
          <w:tcPr>
            <w:tcW w:w="135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Trade Marketing</w:t>
            </w:r>
          </w:p>
        </w:tc>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Distribuidores, redes varejistas</w:t>
            </w:r>
          </w:p>
        </w:tc>
        <w:tc>
          <w:tcPr>
            <w:tcW w:w="13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Gerência Comercial</w:t>
            </w:r>
          </w:p>
        </w:tc>
        <w:tc>
          <w:tcPr>
            <w:tcW w:w="11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Instalação até S6</w:t>
            </w:r>
          </w:p>
        </w:tc>
        <w:tc>
          <w:tcPr>
            <w:tcW w:w="2279"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Material não instalado ou falta de produto. Mitigação: auditoria fotográfica semanal e reposição prioritária.</w:t>
            </w:r>
          </w:p>
        </w:tc>
      </w:tr>
      <w:tr>
        <w:trPr>
          <w:cantSplit w:val="1"/>
        </w:trPr>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A6 Combo Momento de Foco</w:t>
            </w:r>
          </w:p>
        </w:tc>
        <w:tc>
          <w:tcPr>
            <w:tcW w:w="135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E-commerce/Key Account</w:t>
            </w:r>
          </w:p>
        </w:tc>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iFood, Rappi, Digital</w:t>
            </w:r>
          </w:p>
        </w:tc>
        <w:tc>
          <w:tcPr>
            <w:tcW w:w="13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Gerência Comercial</w:t>
            </w:r>
          </w:p>
        </w:tc>
        <w:tc>
          <w:tcPr>
            <w:tcW w:w="11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Combo no ar na S7</w:t>
            </w:r>
          </w:p>
        </w:tc>
        <w:tc>
          <w:tcPr>
            <w:tcW w:w="2279"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Falta de produto nos parceiros ou conflito de preço com o varejo. Mitigação: seleção de parceiros e preço sugerido.</w:t>
            </w:r>
          </w:p>
        </w:tc>
      </w:tr>
      <w:tr>
        <w:trPr>
          <w:cantSplit w:val="1"/>
        </w:trPr>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A7 Diário de Bordo</w:t>
            </w:r>
          </w:p>
        </w:tc>
        <w:tc>
          <w:tcPr>
            <w:tcW w:w="135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Digital/CRM</w:t>
            </w:r>
          </w:p>
        </w:tc>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Agência de CRM</w:t>
            </w:r>
          </w:p>
        </w:tc>
        <w:tc>
          <w:tcPr>
            <w:tcW w:w="13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Jurídico (LGPD)</w:t>
            </w:r>
          </w:p>
        </w:tc>
        <w:tc>
          <w:tcPr>
            <w:tcW w:w="11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Base aberta na S7</w:t>
            </w:r>
          </w:p>
        </w:tc>
        <w:tc>
          <w:tcPr>
            <w:tcW w:w="2279"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Baixa adesão ou uso indevido de dados. Mitigação: consentimento explícito e no máximo um contato por semana.</w:t>
            </w:r>
          </w:p>
        </w:tc>
      </w:tr>
      <w:tr>
        <w:trPr>
          <w:cantSplit w:val="1"/>
        </w:trPr>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Painel e pesquisas</w:t>
            </w:r>
          </w:p>
        </w:tc>
        <w:tc>
          <w:tcPr>
            <w:tcW w:w="135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Inteligência de Mercado</w:t>
            </w:r>
          </w:p>
        </w:tc>
        <w:tc>
          <w:tcPr>
            <w:tcW w:w="15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Instituto de pesquisa, Digital</w:t>
            </w:r>
          </w:p>
        </w:tc>
        <w:tc>
          <w:tcPr>
            <w:tcW w:w="13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Gerência de Marca</w:t>
            </w:r>
          </w:p>
        </w:tc>
        <w:tc>
          <w:tcPr>
            <w:tcW w:w="1100"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Linha de base até S3; pós na S13</w:t>
            </w:r>
          </w:p>
        </w:tc>
        <w:tc>
          <w:tcPr>
            <w:tcW w:w="2279" w:type="dxa"/>
            <w:tcBorders>
              <w:top w:color="c4c7c5" w:space="0" w:sz="6" w:val="single"/>
              <w:left w:color="c4c7c5" w:space="0" w:sz="6" w:val="single"/>
              <w:bottom w:color="c4c7c5" w:space="0" w:sz="6" w:val="single"/>
              <w:right w:color="c4c7c5" w:space="0" w:sz="6" w:val="single"/>
            </w:tcBorders>
            <w:tcMar>
              <w:top w:w="60" w:type="dxa"/>
              <w:left w:w="80" w:type="dxa"/>
              <w:bottom w:w="60" w:type="dxa"/>
              <w:right w:w="8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Atraso na linha de base, o que impediria a comparação. Mitigação: contratar a pesquisa já na S1.</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(2026c). Cargos ilustrativos.</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11.2 Rotina mínima de acompanhamento</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Reunião semanal (30 minutos, de S4 a S12):</w:t>
      </w:r>
      <w:r>
        <w:rPr>
          <w:rFonts w:ascii="Times New Roman" w:cs="Times New Roman" w:eastAsia="Times New Roman" w:hAnsi="Times New Roman"/>
          <w:sz w:val="24"/>
          <w:szCs w:val="24"/>
        </w:rPr>
        <w:t xml:space="preserve"> participam os responsáveis pelas ações e a Inteligência de Mercado. Pauta fixa: (1) painel da semana; (2) desvios em relação às metas; (3) riscos e bloqueios; (4) decisões.</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Registro de decisões:</w:t>
      </w:r>
      <w:r>
        <w:rPr>
          <w:rFonts w:ascii="Times New Roman" w:cs="Times New Roman" w:eastAsia="Times New Roman" w:hAnsi="Times New Roman"/>
          <w:sz w:val="24"/>
          <w:szCs w:val="24"/>
        </w:rPr>
        <w:t xml:space="preserve"> cada decisão vai para uma planilha compartilhada com data, decisão, motivo, responsável e prazo. Essa planilha é a memória usada no relatório final.</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Pontos de controle (S6 e S9):</w:t>
      </w:r>
      <w:r>
        <w:rPr>
          <w:rFonts w:ascii="Times New Roman" w:cs="Times New Roman" w:eastAsia="Times New Roman" w:hAnsi="Times New Roman"/>
          <w:sz w:val="24"/>
          <w:szCs w:val="24"/>
        </w:rPr>
        <w:t xml:space="preserve"> reunião de uma hora com a Diretoria de Marketing para decidir o uso da reserva de mídia (R$ 150 mil, seção 12) nas ações que estiverem acima da meta.</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Reunião de aprendizagem (S13):</w:t>
      </w:r>
      <w:r>
        <w:rPr>
          <w:rFonts w:ascii="Times New Roman" w:cs="Times New Roman" w:eastAsia="Times New Roman" w:hAnsi="Times New Roman"/>
          <w:sz w:val="24"/>
          <w:szCs w:val="24"/>
        </w:rPr>
        <w:t xml:space="preserve"> apresentação do relatório final (resultado, interpretação, aprendizado e próximos passos) e decisão sobre cada ação (seção 14).</w:t>
      </w:r>
    </w:p>
    <w:p>
      <w:pPr>
        <w:keepNext w:val="1"/>
        <w:spacing w:before="360" w:after="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 Orçamento</w:t>
      </w:r>
    </w:p>
    <w:p>
      <w:pPr>
        <w:spacing w:before="0" w:after="8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Premissas do orçamento (valores fictícios para fins acadêmicos):</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Valores em reais, estimados pelo grupo. Não são custos reais da Red Bull nem cotações de fornecedores.</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Escopo de 13 semanas, com ações digitais nacionais e ações presenciais em cinco praças-piloto.</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verba de mídia é uma verba de teste, suficiente para medir o efeito, e não para o alcance máximo. Os custos de mídia não foram cotados; quando um custo entra no cálculo de uma meta, ele aparece como premissa fictícia.</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Inclui o produto usado em amostras e o subsídio de cupons, a valores fictícios.</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Não inclui custos que a marca já tem: equipe interna fixa, geladeiras instaladas e patrocínios de esportes e eSports.</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Tabela 1 – </w:t>
      </w:r>
      <w:r>
        <w:rPr>
          <w:rFonts w:ascii="Times New Roman" w:cs="Times New Roman" w:eastAsia="Times New Roman" w:hAnsi="Times New Roman"/>
          <w:sz w:val="24"/>
          <w:szCs w:val="24"/>
        </w:rPr>
        <w:t xml:space="preserve">Orçamento por categoria (valores fictícios, em R$)</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5229"/>
        <w:gridCol w:w="2100"/>
      </w:tblGrid>
      <w:tr>
        <w:trPr>
          <w:cantSplit w:val="1"/>
          <w:tblHeader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Categoria</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Item</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center"/>
          </w:tcPr>
          <w:p>
            <w:pPr>
              <w:keepNext w:val="1"/>
              <w:spacing w:before="0" w:after="0" w:line="240" w:lineRule="auto"/>
              <w:jc w:val="righ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Valor (R$)</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Produção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Cachê dos 6 criadores e produção dos 12 vídeos (A1)</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480.000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Produção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Hub Modo Foco: conteúdo, design e desenvolvimento (A2)</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90.000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Produção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Peças de PDV: criação e impressão para cerca de 600 lojas (A5)</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150.000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Produção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Estações modulares de ativação para 5 praças (A4)</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120.000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Produção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Conteúdos de redes sociais e CRM (A3 e A7)</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Subtotal Produção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900.000 (24,0%)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Mídia</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Impulsionamento dos vídeos: TikTok, Meta e YouTube (A1)</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900.000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Mídia</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Remarketing para o Hub e as provas (A2)</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250.000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Mídia</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Mídia nos aplicativos de entrega: vitrine, banners e notificações (A6)</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300.000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Mídia</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Reserva para escalar ações acima da meta nos pontos de controle</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150.000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Subtotal Mídia</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1.600.000 (42,7%)</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Operação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Promotores e embaixadores, logística e deslocamentos (A4)</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260.000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Operação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Produto para amostragem: 40 mil latas (A4)</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160.000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Operação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Subsídio de cupons e combos (A6)</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180.000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Operação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Instalação e auditoria de PDV (A5)</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90.000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Operação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Assessoria de imprensa e moderação de comunidade (A3)</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110.000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Operação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Ferramentas: plataforma de conteúdo de usuários e de WhatsApp/e-mail (A3 e A7)</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Operação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Revisão jurídica e regulatória, contratos e direitos de imagem</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Subtotal Operação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870.000 (23,2%)</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Mensuração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Pesquisa de linha de base e pós-campanha com o público prioritário (cerca de 1.200 entrevistas por onda)</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160.000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Mensuração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Estudos de brand lift nas plataformas de vídeo</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Mensuração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Social listening (3 meses)</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45.000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Mensuração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Dados de vendas e análise de lojas participantes e lojas-controle</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70.000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Mensuração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Painel (dashboard), análise e relatório final</w:t>
            </w: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65.000</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Subtotal Mensuração</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rPr>
                <w:rFonts w:ascii="Times New Roman" w:cs="Times New Roman" w:eastAsia="Times New Roman" w:hAnsi="Times New Roman"/>
                <w:b w:val="1"/>
                <w:bCs w:val="1"/>
                <w:sz w:val="20"/>
                <w:szCs w:val="20"/>
              </w:rPr>
            </w:pP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spacing w:before="0" w:after="0" w:line="240" w:lineRule="auto"/>
              <w:jc w:val="righ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380.000 (10,1%)</w:t>
            </w:r>
          </w:p>
        </w:tc>
      </w:tr>
      <w:tr>
        <w:trPr>
          <w:cantSplit w:val="1"/>
        </w:trPr>
        <w:tc>
          <w:tcPr>
            <w:tcW w:w="17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TOTAL</w:t>
            </w:r>
          </w:p>
        </w:tc>
        <w:tc>
          <w:tcPr>
            <w:tcW w:w="5229"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p>
        </w:tc>
        <w:tc>
          <w:tcPr>
            <w:tcW w:w="2100" w:type="dxa"/>
            <w:tcBorders>
              <w:top w:color="c4c7c5" w:space="0" w:sz="6" w:val="single"/>
              <w:left w:color="c4c7c5" w:space="0" w:sz="6" w:val="single"/>
              <w:bottom w:color="c4c7c5" w:space="0" w:sz="6" w:val="single"/>
              <w:right w:color="c4c7c5" w:space="0" w:sz="6" w:val="single"/>
            </w:tcBorders>
            <w:tcMar>
              <w:top w:w="50" w:type="dxa"/>
              <w:left w:w="100" w:type="dxa"/>
              <w:bottom w:w="50" w:type="dxa"/>
              <w:right w:w="100" w:type="dxa"/>
            </w:tcMar>
            <w:vAlign w:val="top"/>
          </w:tcPr>
          <w:p>
            <w:pPr>
              <w:keepNext w:val="1"/>
              <w:spacing w:before="0" w:after="0" w:line="240" w:lineRule="auto"/>
              <w:jc w:val="righ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3.750.000 (100%)</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Valores fictícios para fins acadêmicos.</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Tabela 2 – </w:t>
      </w:r>
      <w:r>
        <w:rPr>
          <w:rFonts w:ascii="Times New Roman" w:cs="Times New Roman" w:eastAsia="Times New Roman" w:hAnsi="Times New Roman"/>
          <w:sz w:val="24"/>
          <w:szCs w:val="24"/>
        </w:rPr>
        <w:t xml:space="preserve">Orçamento por ação (valores fictícios, em R$)</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9"/>
        <w:gridCol w:w="1800"/>
        <w:gridCol w:w="1500"/>
        <w:gridCol w:w="1500"/>
      </w:tblGrid>
      <w:tr>
        <w:trPr>
          <w:cantSplit w:val="1"/>
          <w:tblHeader w:val="1"/>
        </w:trPr>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Ação</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jc w:val="righ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Valor (R$)</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jc w:val="righ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 do total</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Prioridade</w:t>
            </w:r>
          </w:p>
        </w:tc>
      </w:tr>
      <w:tr>
        <w:trPr>
          <w:cantSplit w:val="1"/>
        </w:trPr>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A1 Transmissões do Dia a Dia</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1.380.000</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36,8%</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w:t>
            </w:r>
          </w:p>
        </w:tc>
      </w:tr>
      <w:tr>
        <w:trPr>
          <w:cantSplit w:val="1"/>
        </w:trPr>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A2 Hub Modo Foco</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340.000</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9,1%</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w:t>
            </w:r>
          </w:p>
        </w:tc>
      </w:tr>
      <w:tr>
        <w:trPr>
          <w:cantSplit w:val="1"/>
        </w:trPr>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A3 Conquistas Reais</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160.000</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4,3%</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w:t>
            </w:r>
          </w:p>
        </w:tc>
      </w:tr>
      <w:tr>
        <w:trPr>
          <w:cantSplit w:val="1"/>
        </w:trPr>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A4 Pausa com Asas</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540.000</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14,4%</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w:t>
            </w:r>
          </w:p>
        </w:tc>
      </w:tr>
      <w:tr>
        <w:trPr>
          <w:cantSplit w:val="1"/>
        </w:trPr>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A5 Seu Próximo Voo (PDV)</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240.000</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6,4%</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w:t>
            </w:r>
          </w:p>
        </w:tc>
      </w:tr>
      <w:tr>
        <w:trPr>
          <w:cantSplit w:val="1"/>
        </w:trPr>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A6 Combo Momento de Foco</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480.000</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12,8%</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w:t>
            </w:r>
          </w:p>
        </w:tc>
      </w:tr>
      <w:tr>
        <w:trPr>
          <w:cantSplit w:val="1"/>
        </w:trPr>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A7 Diário de Bordo</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50.000</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1,3%</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w:t>
            </w:r>
          </w:p>
        </w:tc>
      </w:tr>
      <w:tr>
        <w:trPr>
          <w:cantSplit w:val="1"/>
        </w:trPr>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Transversal: mensuração, reserva de mídia e revisão jurídica</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560.000</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14,9%</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w:t>
            </w:r>
          </w:p>
        </w:tc>
      </w:tr>
      <w:tr>
        <w:trPr>
          <w:cantSplit w:val="1"/>
        </w:trPr>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TOTAL</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3.750.000</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jc w:val="righ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100%</w:t>
            </w:r>
          </w:p>
        </w:tc>
        <w:tc>
          <w:tcPr>
            <w:tcW w:w="1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Itens compartilhados entre A3 e A7 foram divididos igualmente. Valores fictícios para fins acadêmicos.</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15 – </w:t>
      </w:r>
      <w:r>
        <w:rPr>
          <w:rFonts w:ascii="Times New Roman" w:cs="Times New Roman" w:eastAsia="Times New Roman" w:hAnsi="Times New Roman"/>
          <w:sz w:val="24"/>
          <w:szCs w:val="24"/>
        </w:rPr>
        <w:t xml:space="preserve">Critérios de priorização das ações</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00"/>
        <w:gridCol w:w="1150"/>
        <w:gridCol w:w="900"/>
        <w:gridCol w:w="1450"/>
        <w:gridCol w:w="1350"/>
        <w:gridCol w:w="1779"/>
      </w:tblGrid>
      <w:tr>
        <w:trPr>
          <w:cantSplit w:val="1"/>
          <w:tblHeader w:val="1"/>
        </w:trPr>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Ação</w:t>
            </w:r>
          </w:p>
        </w:tc>
        <w:tc>
          <w:tcPr>
            <w:tcW w:w="15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Impacto esperado</w:t>
            </w:r>
          </w:p>
        </w:tc>
        <w:tc>
          <w:tcPr>
            <w:tcW w:w="11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Urgência</w:t>
            </w:r>
          </w:p>
        </w:tc>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Custo</w:t>
            </w:r>
          </w:p>
        </w:tc>
        <w:tc>
          <w:tcPr>
            <w:tcW w:w="14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Capacidade de execução</w:t>
            </w:r>
          </w:p>
        </w:tc>
        <w:tc>
          <w:tcPr>
            <w:tcW w:w="13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Mensurabilidade</w:t>
            </w:r>
          </w:p>
        </w:tc>
        <w:tc>
          <w:tcPr>
            <w:tcW w:w="1779"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Decisão</w:t>
            </w:r>
          </w:p>
        </w:tc>
      </w:tr>
      <w:tr>
        <w:trPr>
          <w:cantSplit w:val="1"/>
        </w:trPr>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A1</w:t>
            </w:r>
          </w:p>
        </w:tc>
        <w:tc>
          <w:tcPr>
            <w:tcW w:w="15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Alto: ataca o problema central de percepção</w:t>
            </w:r>
          </w:p>
        </w:tc>
        <w:tc>
          <w:tcPr>
            <w:tcW w:w="11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 abre a sequência</w:t>
            </w:r>
          </w:p>
        </w:tc>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Alto</w:t>
            </w:r>
          </w:p>
        </w:tc>
        <w:tc>
          <w:tcPr>
            <w:tcW w:w="14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 competência audiovisual da marca</w:t>
            </w:r>
          </w:p>
        </w:tc>
        <w:tc>
          <w:tcPr>
            <w:tcW w:w="13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 brand lift</w:t>
            </w:r>
          </w:p>
        </w:tc>
        <w:tc>
          <w:tcPr>
            <w:tcW w:w="1779"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Prioridade 1: maior fatia da verba</w:t>
            </w:r>
          </w:p>
        </w:tc>
      </w:tr>
      <w:tr>
        <w:trPr>
          <w:cantSplit w:val="1"/>
        </w:trPr>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A2</w:t>
            </w:r>
          </w:p>
        </w:tc>
        <w:tc>
          <w:tcPr>
            <w:tcW w:w="15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Médio a alto: transforma interesse em consideração</w:t>
            </w:r>
          </w:p>
        </w:tc>
        <w:tc>
          <w:tcPr>
            <w:tcW w:w="11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 precisa estar no ar no lançamento</w:t>
            </w:r>
          </w:p>
        </w:tc>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Baixo</w:t>
            </w:r>
          </w:p>
        </w:tc>
        <w:tc>
          <w:tcPr>
            <w:tcW w:w="14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w:t>
            </w:r>
          </w:p>
        </w:tc>
        <w:tc>
          <w:tcPr>
            <w:tcW w:w="13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 cliques para compra</w:t>
            </w:r>
          </w:p>
        </w:tc>
        <w:tc>
          <w:tcPr>
            <w:tcW w:w="1779"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Prioridade 1: barata e necessária às demais</w:t>
            </w:r>
          </w:p>
        </w:tc>
      </w:tr>
      <w:tr>
        <w:trPr>
          <w:cantSplit w:val="1"/>
        </w:trPr>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A6</w:t>
            </w:r>
          </w:p>
        </w:tc>
        <w:tc>
          <w:tcPr>
            <w:tcW w:w="15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Alto: converte onde o foco acontece (em casa)</w:t>
            </w:r>
          </w:p>
        </w:tc>
        <w:tc>
          <w:tcPr>
            <w:tcW w:w="11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Média</w:t>
            </w:r>
          </w:p>
        </w:tc>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Médio</w:t>
            </w:r>
          </w:p>
        </w:tc>
        <w:tc>
          <w:tcPr>
            <w:tcW w:w="14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 canal já previsto na Parte 2</w:t>
            </w:r>
          </w:p>
        </w:tc>
        <w:tc>
          <w:tcPr>
            <w:tcW w:w="13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 pedidos e recompra</w:t>
            </w:r>
          </w:p>
        </w:tc>
        <w:tc>
          <w:tcPr>
            <w:tcW w:w="1779"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Prioridade 1</w:t>
            </w:r>
          </w:p>
        </w:tc>
      </w:tr>
      <w:tr>
        <w:trPr>
          <w:cantSplit w:val="1"/>
        </w:trPr>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A4</w:t>
            </w:r>
          </w:p>
        </w:tc>
        <w:tc>
          <w:tcPr>
            <w:tcW w:w="15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Alto por pessoa, mas de alcance limitado</w:t>
            </w:r>
          </w:p>
        </w:tc>
        <w:tc>
          <w:tcPr>
            <w:tcW w:w="11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Média: depende do calendário de provas</w:t>
            </w:r>
          </w:p>
        </w:tc>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Alto por pessoa</w:t>
            </w:r>
          </w:p>
        </w:tc>
        <w:tc>
          <w:tcPr>
            <w:tcW w:w="14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Média: depende de autorizações</w:t>
            </w:r>
          </w:p>
        </w:tc>
        <w:tc>
          <w:tcPr>
            <w:tcW w:w="13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Média a alta: cupom rastreável</w:t>
            </w:r>
          </w:p>
        </w:tc>
        <w:tc>
          <w:tcPr>
            <w:tcW w:w="1779"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Prioridade 2: restrita a 5 praças e 3 semanas</w:t>
            </w:r>
          </w:p>
        </w:tc>
      </w:tr>
      <w:tr>
        <w:trPr>
          <w:cantSplit w:val="1"/>
        </w:trPr>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A5</w:t>
            </w:r>
          </w:p>
        </w:tc>
        <w:tc>
          <w:tcPr>
            <w:tcW w:w="15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Médio a alto</w:t>
            </w:r>
          </w:p>
        </w:tc>
        <w:tc>
          <w:tcPr>
            <w:tcW w:w="11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Média</w:t>
            </w:r>
          </w:p>
        </w:tc>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Médio</w:t>
            </w:r>
          </w:p>
        </w:tc>
        <w:tc>
          <w:tcPr>
            <w:tcW w:w="14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 rede de distribuição existente</w:t>
            </w:r>
          </w:p>
        </w:tc>
        <w:tc>
          <w:tcPr>
            <w:tcW w:w="13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 lojas participantes e lojas-controle</w:t>
            </w:r>
          </w:p>
        </w:tc>
        <w:tc>
          <w:tcPr>
            <w:tcW w:w="1779"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Prioridade 2</w:t>
            </w:r>
          </w:p>
        </w:tc>
      </w:tr>
      <w:tr>
        <w:trPr>
          <w:cantSplit w:val="1"/>
        </w:trPr>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A3</w:t>
            </w:r>
          </w:p>
        </w:tc>
        <w:tc>
          <w:tcPr>
            <w:tcW w:w="15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Médio: credibilidade</w:t>
            </w:r>
          </w:p>
        </w:tc>
        <w:tc>
          <w:tcPr>
            <w:tcW w:w="11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Média</w:t>
            </w:r>
          </w:p>
        </w:tc>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Baixo</w:t>
            </w:r>
          </w:p>
        </w:tc>
        <w:tc>
          <w:tcPr>
            <w:tcW w:w="14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Média: depende da adesão do público</w:t>
            </w:r>
          </w:p>
        </w:tc>
        <w:tc>
          <w:tcPr>
            <w:tcW w:w="13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Média: listening e participação</w:t>
            </w:r>
          </w:p>
        </w:tc>
        <w:tc>
          <w:tcPr>
            <w:tcW w:w="1779"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Prioridade 2: barata e testa a hipótese 2</w:t>
            </w:r>
          </w:p>
        </w:tc>
      </w:tr>
      <w:tr>
        <w:trPr>
          <w:cantSplit w:val="1"/>
        </w:trPr>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A7</w:t>
            </w:r>
          </w:p>
        </w:tc>
        <w:tc>
          <w:tcPr>
            <w:tcW w:w="15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Médio no curto prazo, alto no longo</w:t>
            </w:r>
          </w:p>
        </w:tc>
        <w:tc>
          <w:tcPr>
            <w:tcW w:w="11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Baixa: começa na S7</w:t>
            </w:r>
          </w:p>
        </w:tc>
        <w:tc>
          <w:tcPr>
            <w:tcW w:w="90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Baixo</w:t>
            </w:r>
          </w:p>
        </w:tc>
        <w:tc>
          <w:tcPr>
            <w:tcW w:w="14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w:t>
            </w:r>
          </w:p>
        </w:tc>
        <w:tc>
          <w:tcPr>
            <w:tcW w:w="1350"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Alta: recompra de membros</w:t>
            </w:r>
          </w:p>
        </w:tc>
        <w:tc>
          <w:tcPr>
            <w:tcW w:w="1779" w:type="dxa"/>
            <w:tcBorders>
              <w:top w:color="c4c7c5" w:space="0" w:sz="6" w:val="single"/>
              <w:left w:color="c4c7c5" w:space="0" w:sz="6" w:val="single"/>
              <w:bottom w:color="c4c7c5" w:space="0" w:sz="6" w:val="single"/>
              <w:right w:color="c4c7c5" w:space="0" w:sz="6" w:val="single"/>
            </w:tcBorders>
            <w:tcMar>
              <w:top w:w="50" w:type="dxa"/>
              <w:left w:w="70" w:type="dxa"/>
              <w:bottom w:w="5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Prioridade 3: base para as próximas rodadas</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nos critérios de Souza (2026c).</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Justificativa da distribuição:</w:t>
      </w:r>
      <w:r>
        <w:rPr>
          <w:rFonts w:ascii="Times New Roman" w:cs="Times New Roman" w:eastAsia="Times New Roman" w:hAnsi="Times New Roman"/>
          <w:sz w:val="24"/>
          <w:szCs w:val="24"/>
        </w:rPr>
        <w:t xml:space="preserve"> a maior fatia vai para A1 porque o objetivo é mudar uma percepção; sem a nova associação, as demais ações perdem efeito. A mídia (42,7%) supera a produção porque o plano reaproveita ativos existentes e precisa chegar a um público grande: somando universitários e trabalhadores remotos, são cerca de 20 milhões de pessoas, sem descontar a sobreposição entre os grupos (complemento A). A mensuração recebe 10,1%, fatia que o grupo considera acima da usual em campanhas de manutenção, porque este é um piloto: quando o recurso é limitado, deve-se priorizar o que mais reduz incerteza ou aumenta a aprendizagem (SOUZA, 2026c).</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Os cupons ficam limitados a 4,8% do total por uma razão de posicionamento. A Red Bull pratica preço premium e é a terceira marca em volume no canal moderno brasileiro, atrás de Monster e Baly (NIELSENIQ apud GIRONEWS, 2025). Disputar preço enfraqueceria o posicionamento; por isso, o plano vende ocasião e significado.</w:t>
      </w:r>
    </w:p>
    <w:p>
      <w:pPr>
        <w:spacing w:before="0" w:after="0" w:line="240" w:lineRule="auto"/>
        <w:rPr>
          <w:sz w:val="2"/>
          <w:szCs w:val="2"/>
        </w:rPr>
        <w:sectPr>
          <w:pgSz w:w="11909" w:h="16834" w:orient="portrait"/>
          <w:pgMar w:bottom="1440" w:top="1440" w:left="1440" w:right="1440" w:header="720" w:footer="720"/>
        </w:sectPr>
      </w:pPr>
    </w:p>
    <w:p>
      <w:pPr>
        <w:keepNext w:val="1"/>
        <w:spacing w:before="0" w:after="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13. Indicadores e Metas</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 painel tem seis indicadores, cada um ligado a uma etapa da jornada e ao objetivo de comunicação. Os KPIs de cada ação (Quadro 10) são acompanhados pelos responsáveis como métricas de diagnóstico e só sobem ao painel quando explicam um desvio. Curtidas, seguidores e impressões isoladas ficam de fora porque não mudam nenhuma decisão (SOUZA, 2026c).</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Sobre as linhas de base:</w:t>
      </w:r>
      <w:r>
        <w:rPr>
          <w:rFonts w:ascii="Times New Roman" w:cs="Times New Roman" w:eastAsia="Times New Roman" w:hAnsi="Times New Roman"/>
          <w:sz w:val="24"/>
          <w:szCs w:val="24"/>
        </w:rPr>
        <w:t xml:space="preserve"> o grupo não tem acesso aos dados internos da Red Bull. Por isso, as linhas de base do painel são valores fictícios para fins acadêmicos e estão marcadas como tal. Na execução real, seriam substituídas pela pesquisa de linha de base (S2 e S3) e pelo histórico da empresa e dos parceiros. As metas são estimativas do grupo.</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16 – </w:t>
      </w:r>
      <w:r>
        <w:rPr>
          <w:rFonts w:ascii="Times New Roman" w:cs="Times New Roman" w:eastAsia="Times New Roman" w:hAnsi="Times New Roman"/>
          <w:sz w:val="24"/>
          <w:szCs w:val="24"/>
        </w:rPr>
        <w:t xml:space="preserve">Painel de mensuração</w:t>
      </w:r>
    </w:p>
    <w:tbl>
      <w:tblPr>
        <w:tblStyle w:val="Table1"/>
        <w:tblW w:w="139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1900"/>
        <w:gridCol w:w="1800"/>
        <w:gridCol w:w="1800"/>
        <w:gridCol w:w="1700"/>
        <w:gridCol w:w="1100"/>
        <w:gridCol w:w="3754"/>
      </w:tblGrid>
      <w:tr>
        <w:trPr>
          <w:cantSplit w:val="1"/>
          <w:tblHeader w:val="1"/>
        </w:trPr>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Indicador (etapa)</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Ligação com o objetivo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Linha de base</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Meta (3 meses)</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Fonte</w:t>
            </w:r>
          </w:p>
        </w:tc>
        <w:tc>
          <w:tcPr>
            <w:tcW w:w="1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Frequência</w:t>
            </w:r>
          </w:p>
        </w:tc>
        <w:tc>
          <w:tcPr>
            <w:tcW w:w="3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Decisão (se subir, cair ou estagnar)</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1. Alcance qualificado (Descoberta)</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Leva a nova associação ao público prioritário; é condição para mudar a percepção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Zero, porque a campanha é nova. Referência: alcance de campanhas anteriores da marca (a levantar)</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10 milhões de pessoas únicas de 18 a 35 anos com interesse em estudo, carreira ou produtividade, com frequência média de pelo menos 3 (estimativa do grupo, com custo por mil impressões fictício de R$ 20)</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Gerenciadores de anúncios (TikTok, Meta, Google)</w:t>
            </w:r>
          </w:p>
        </w:tc>
        <w:tc>
          <w:tcPr>
            <w:tcW w:w="1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Semanal</w:t>
            </w:r>
          </w:p>
        </w:tc>
        <w:tc>
          <w:tcPr>
            <w:tcW w:w="3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Sobe: concentrar verba nos criadores com menor custo por pessoa qualificada.</w:t>
            </w:r>
          </w:p>
          <w:p>
            <w:pPr>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Cai: revisar segmentação e lances.</w:t>
            </w:r>
          </w:p>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Estagna (alcance sobe, mas o indicador 3 não): o problema é a mensagem, não a verba; trocar criativos antes de investir mais.</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2. Engajamento relevante: retenção (Descoberta)</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Mostra se a história é assistida o bastante para transmitir a mensagem</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15% das visualizações chegam a 75% do vídeo (valor fictício)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20% (estimativa do grupo)</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Analytics das plataformas</w:t>
            </w:r>
          </w:p>
        </w:tc>
        <w:tc>
          <w:tcPr>
            <w:tcW w:w="1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Semanal</w:t>
            </w:r>
          </w:p>
        </w:tc>
        <w:tc>
          <w:tcPr>
            <w:tcW w:w="3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Sobe: repetir ganchos e formatos vencedores no segundo lote.</w:t>
            </w:r>
          </w:p>
          <w:p>
            <w:pPr>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Cai: pausar vídeos com retenção abaixo de 10%.</w:t>
            </w:r>
          </w:p>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Estagna: testar novas aberturas (3 primeiros segundos) e duração de 30 s contra 60 s.</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3. Percepção de marca: associação a foco (Descoberta e Consideração)</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Mede diretamente a mudança pedida no objetivo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22% do público prioritário associa a Red Bull a “energia para momentos de foco no estudo ou trabalho” (notas 4 e 5 numa escala de 1 a 5; valor fictício)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30% (+8 p.p.), com lift significativo entre expostos e não expostos; associação com “superar limites” sem queda maior que 2 p.p. (estimativa do grupo)</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Pesquisa pré e pós com instituto; brand lift das plataformas</w:t>
            </w:r>
          </w:p>
        </w:tc>
        <w:tc>
          <w:tcPr>
            <w:tcW w:w="1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Pré (S2 e S3), meio (S7) e pós (S13)</w:t>
            </w:r>
          </w:p>
        </w:tc>
        <w:tc>
          <w:tcPr>
            <w:tcW w:w="3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Sobe: estratégia validada; propor expansão na próxima rodada.</w:t>
            </w:r>
          </w:p>
          <w:p>
            <w:pPr>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Cai, ou “superar limites” cai: a narrativa se afastou da essência; reforçar os códigos da marca.</w:t>
            </w:r>
          </w:p>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Estagna: a mensagem não está sendo entendida; reforçar as provas (A2 e A3).</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4. Consideração para estudo e trabalho (Consideração)</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Mede a segunda parte do objetivo: elevar a consideração de compra</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18% do público prioritário consideraria comprar Red Bull para estudar ou trabalhar (valor fictício)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24% (+6 p.p.) (estimativa do grupo)</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Pesquisa pré e pós; brand lift</w:t>
            </w:r>
          </w:p>
        </w:tc>
        <w:tc>
          <w:tcPr>
            <w:tcW w:w="1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Pré, meio e pós</w:t>
            </w:r>
          </w:p>
        </w:tc>
        <w:tc>
          <w:tcPr>
            <w:tcW w:w="3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Sobe junto com o indicador 5: manter o mix.</w:t>
            </w:r>
          </w:p>
          <w:p>
            <w:pPr>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Sobe sem o indicador 5: a barreira está na compra (preço ou disponibilidade); reforçar A5 e A6.</w:t>
            </w:r>
          </w:p>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Cai ou estagna: reforçar explicação e experimentação (A2 e A4).</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5. Conversão desejada: vendas na ocasião de foco (Compra)</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Mostra se a mudança de percepção vira comportamento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Vendas das lojas participantes nas 8 semanas anteriores (índice 100) e pedidos de Red Bull nos aplicativos no mesmo período (valores fictícios; a levantar com parceiros)</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Vendas 8% acima das lojas-controle e 50 mil pedidos do combo em 6 semanas (estimativas do grupo)</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Dados de vendas de distribuidores ou NielsenIQ; relatórios do iFood e do Rappi</w:t>
            </w:r>
          </w:p>
        </w:tc>
        <w:tc>
          <w:tcPr>
            <w:tcW w:w="1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Quinzenal</w:t>
            </w:r>
          </w:p>
        </w:tc>
        <w:tc>
          <w:tcPr>
            <w:tcW w:w="3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Sobe: levar o material de PDV a mais lojas do mesmo perfil.</w:t>
            </w:r>
          </w:p>
          <w:p>
            <w:pPr>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Cai: auditar a execução (material instalado? falta de produto?).</w:t>
            </w:r>
          </w:p>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Estagna: testar outro apelo (combo contra mensagem) em metade das lojas.</w:t>
            </w:r>
          </w:p>
        </w:tc>
      </w:tr>
      <w:tr>
        <w:trPr>
          <w:cantSplit w:val="1"/>
        </w:trPr>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6. Relacionamento: recompra em 30 dias (Fidelização)</w:t>
            </w:r>
          </w:p>
        </w:tc>
        <w:tc>
          <w:tcPr>
            <w:tcW w:w="19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Mostra se a nova ocasião de consumo vira hábito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20% dos compradores de Red Bull nos aplicativos compram de novo em 30 dias (valor fictício; a levantar com parceiros)</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28% entre compradores do combo; membros do Diário de Bordo acima dos não membros (estimativa do grupo)</w:t>
            </w:r>
          </w:p>
        </w:tc>
        <w:tc>
          <w:tcPr>
            <w:tcW w:w="17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Parceiros (iFood e Rappi) e base de CRM</w:t>
            </w:r>
          </w:p>
        </w:tc>
        <w:tc>
          <w:tcPr>
            <w:tcW w:w="1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Quinzenal, a partir da S11</w:t>
            </w:r>
          </w:p>
        </w:tc>
        <w:tc>
          <w:tcPr>
            <w:tcW w:w="37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Sobe: manter o cupom de recompra e ampliar o Diário de Bordo.</w:t>
            </w:r>
          </w:p>
          <w:p>
            <w:pPr>
              <w:keepNext w:val="1"/>
              <w:spacing w:before="0" w:after="6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Cai: revisar a oferta e a frequência de contato.</w:t>
            </w:r>
          </w:p>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Estagna: trocar o desconto por gatilhos de calendário (provas, fechamento de mês).</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(2026c). Linhas de base fictícias e metas estimadas pelo grupo.</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Hierarquia de métricas adotada:</w:t>
      </w:r>
      <w:r>
        <w:rPr>
          <w:rFonts w:ascii="Times New Roman" w:cs="Times New Roman" w:eastAsia="Times New Roman" w:hAnsi="Times New Roman"/>
          <w:sz w:val="24"/>
          <w:szCs w:val="24"/>
        </w:rPr>
        <w:t xml:space="preserve"> métricas de vaidade (curtidas, seguidores) não entram no plano. Métricas de diagnóstico (os KPIs de cada ação) explicam por que um resultado aconteceu. Métricas de decisão (os seis indicadores do painel) dizem se cada ação deve ser mantida, ajustada, escalada ou encerrada (SOUZA, 2026c).</w:t>
      </w:r>
    </w:p>
    <w:p>
      <w:pPr>
        <w:spacing w:before="0" w:after="0" w:line="240" w:lineRule="auto"/>
        <w:rPr>
          <w:sz w:val="2"/>
          <w:szCs w:val="2"/>
        </w:rPr>
        <w:sectPr>
          <w:pgSz w:w="16834" w:h="11909" w:orient="landscape"/>
          <w:pgMar w:bottom="1440" w:top="1440" w:left="1440" w:right="1440" w:header="720" w:footer="720"/>
        </w:sectPr>
      </w:pPr>
    </w:p>
    <w:p>
      <w:pPr>
        <w:keepNext w:val="1"/>
        <w:spacing w:before="0" w:after="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14. Avaliação e Aprendizagem</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avaliação fecha o ciclo Planejar, Executar, Medir e Aprender. O relatório final não é só prestação de contas: é a memória estratégica que orienta a próxima rodada de comunicação (SOUZA, 2026c).</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17 – </w:t>
      </w:r>
      <w:r>
        <w:rPr>
          <w:rFonts w:ascii="Times New Roman" w:cs="Times New Roman" w:eastAsia="Times New Roman" w:hAnsi="Times New Roman"/>
          <w:sz w:val="24"/>
          <w:szCs w:val="24"/>
        </w:rPr>
        <w:t xml:space="preserve">Ciclo de aprendizagem do plano</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3829"/>
        <w:gridCol w:w="1800"/>
        <w:gridCol w:w="2000"/>
      </w:tblGrid>
      <w:tr>
        <w:trPr>
          <w:cantSplit w:val="1"/>
          <w:tblHeader w:val="1"/>
        </w:trPr>
        <w:tc>
          <w:tcPr>
            <w:tcW w:w="1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Etapa</w:t>
            </w:r>
          </w:p>
        </w:tc>
        <w:tc>
          <w:tcPr>
            <w:tcW w:w="38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 que acontece neste plano</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Quando</w:t>
            </w:r>
          </w:p>
        </w:tc>
        <w:tc>
          <w:tcPr>
            <w:tcW w:w="2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Produto</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Planejar</w:t>
            </w:r>
          </w:p>
        </w:tc>
        <w:tc>
          <w:tcPr>
            <w:tcW w:w="38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Partes 1 e 2, complementos e pesquisa de linha de base para confirmar o insight e fixar as linhas de base</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Antes da campanha e de S1 a S3</w:t>
            </w:r>
          </w:p>
        </w:tc>
        <w:tc>
          <w:tcPr>
            <w:tcW w:w="2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Plano aprovado e linhas de base</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Executar</w:t>
            </w:r>
          </w:p>
        </w:tc>
        <w:tc>
          <w:tcPr>
            <w:tcW w:w="38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Ondas Lançar, Sustentar e Converter, com as sete ações integradas</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S4 a S12</w:t>
            </w:r>
          </w:p>
        </w:tc>
        <w:tc>
          <w:tcPr>
            <w:tcW w:w="2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Ações no ar e registro de decisões</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Medir</w:t>
            </w:r>
          </w:p>
        </w:tc>
        <w:tc>
          <w:tcPr>
            <w:tcW w:w="38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Painel semanal; pontos de controle em S6 e S9; pesquisa pós-campanha</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S4 a S13</w:t>
            </w:r>
          </w:p>
        </w:tc>
        <w:tc>
          <w:tcPr>
            <w:tcW w:w="2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Painel atualizado e atas</w:t>
            </w:r>
          </w:p>
        </w:tc>
      </w:tr>
      <w:tr>
        <w:trPr>
          <w:cantSplit w:val="1"/>
        </w:trPr>
        <w:tc>
          <w:tcPr>
            <w:tcW w:w="14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Aprender</w:t>
            </w:r>
          </w:p>
        </w:tc>
        <w:tc>
          <w:tcPr>
            <w:tcW w:w="38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Relatório final com resultado, interpretação, aprendizado e próximos passos; decisão sobre cada ação</w:t>
            </w:r>
          </w:p>
        </w:tc>
        <w:tc>
          <w:tcPr>
            <w:tcW w:w="18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S13</w:t>
            </w:r>
          </w:p>
        </w:tc>
        <w:tc>
          <w:tcPr>
            <w:tcW w:w="2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Recomendação para a próxima rodada</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em Souza (2026c).</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18 – </w:t>
      </w:r>
      <w:r>
        <w:rPr>
          <w:rFonts w:ascii="Times New Roman" w:cs="Times New Roman" w:eastAsia="Times New Roman" w:hAnsi="Times New Roman"/>
          <w:sz w:val="24"/>
          <w:szCs w:val="24"/>
        </w:rPr>
        <w:t xml:space="preserve">Critérios para manter, ajustar, escalar ou encerrar cada ação</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
        <w:gridCol w:w="4229"/>
        <w:gridCol w:w="3500"/>
      </w:tblGrid>
      <w:tr>
        <w:trPr>
          <w:cantSplit w:val="1"/>
          <w:tblHeader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Decisão</w:t>
            </w:r>
          </w:p>
        </w:tc>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Critério</w:t>
            </w:r>
          </w:p>
        </w:tc>
        <w:tc>
          <w:tcPr>
            <w:tcW w:w="3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 que acontece na próxima rodada</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Manter</w:t>
            </w:r>
          </w:p>
        </w:tc>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KPI da ação entre 100% e 119% da meta, com contribuição visível para o painel</w:t>
            </w:r>
          </w:p>
        </w:tc>
        <w:tc>
          <w:tcPr>
            <w:tcW w:w="3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Mesmo formato e mesma verba</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Ajustar</w:t>
            </w:r>
          </w:p>
        </w:tc>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KPI entre 70% e 99% da meta, ou resultado bom com custo acima do previsto</w:t>
            </w:r>
          </w:p>
        </w:tc>
        <w:tc>
          <w:tcPr>
            <w:tcW w:w="3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Muda criativo, segmentação, oferta ou praça, sem aumentar a verba</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Escalar</w:t>
            </w:r>
          </w:p>
        </w:tc>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KPI a partir de 120% da meta, custo por resultado dentro do previsto e efeito nos indicadores 3, 4 ou 5</w:t>
            </w:r>
          </w:p>
        </w:tc>
        <w:tc>
          <w:tcPr>
            <w:tcW w:w="3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Recebe a reserva de mídia e é levada a novas praças ou públicos</w:t>
            </w:r>
          </w:p>
        </w:tc>
      </w:tr>
      <w:tr>
        <w:trPr>
          <w:cantSplit w:val="1"/>
        </w:trPr>
        <w:tc>
          <w:tcPr>
            <w:tcW w:w="13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Encerrar</w:t>
            </w:r>
          </w:p>
        </w:tc>
        <w:tc>
          <w:tcPr>
            <w:tcW w:w="4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KPI abaixo de 70% da meta em duas leituras seguidas após ajuste, ou risco à essência e à reputação (por exemplo, queda da associação com “superar limites”)</w:t>
            </w:r>
          </w:p>
        </w:tc>
        <w:tc>
          <w:tcPr>
            <w:tcW w:w="35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É interrompida; a verba vai para a ação mais eficiente</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Faixas percentuais estimadas pelo grupo.</w:t>
      </w:r>
    </w:p>
    <w:p>
      <w:pPr>
        <w:spacing w:before="0" w:after="8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Como o resultado alimenta a próxima rodada:</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Percepção e conversão sobem (indicadores 3 a 5):</w:t>
      </w:r>
      <w:r>
        <w:rPr>
          <w:rFonts w:ascii="Times New Roman" w:cs="Times New Roman" w:eastAsia="Times New Roman" w:hAnsi="Times New Roman"/>
          <w:sz w:val="24"/>
          <w:szCs w:val="24"/>
        </w:rPr>
        <w:t xml:space="preserve"> o insight se confirma. A próxima rodada amplia praças e período, por exemplo para um semestre letivo completo.</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Percepção sobe, mas a conversão não:</w:t>
      </w:r>
      <w:r>
        <w:rPr>
          <w:rFonts w:ascii="Times New Roman" w:cs="Times New Roman" w:eastAsia="Times New Roman" w:hAnsi="Times New Roman"/>
          <w:sz w:val="24"/>
          <w:szCs w:val="24"/>
        </w:rPr>
        <w:t xml:space="preserve"> a barreira está na compra. A próxima rodada concentra verba no PDV e nos aplicativos (A5 e A6) e revisa preço e disponibilidade.</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Percepção não muda:</w:t>
      </w:r>
      <w:r>
        <w:rPr>
          <w:rFonts w:ascii="Times New Roman" w:cs="Times New Roman" w:eastAsia="Times New Roman" w:hAnsi="Times New Roman"/>
          <w:sz w:val="24"/>
          <w:szCs w:val="24"/>
        </w:rPr>
        <w:t xml:space="preserve"> o insight não se confirmou. O grupo volta ao diagnóstico (Parte 1), com pesquisa qualitativa junto ao público, antes de investir de novo.</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Essência em risco (a associação com “superar limites” cai):</w:t>
      </w:r>
      <w:r>
        <w:rPr>
          <w:rFonts w:ascii="Times New Roman" w:cs="Times New Roman" w:eastAsia="Times New Roman" w:hAnsi="Times New Roman"/>
          <w:sz w:val="24"/>
          <w:szCs w:val="24"/>
        </w:rPr>
        <w:t xml:space="preserve"> a narrativa é reequilibrada, aproximando as conquistas diárias dos códigos de performance da marca.</w:t>
      </w:r>
    </w:p>
    <w:p>
      <w:pPr>
        <w:numPr>
          <w:ilvl w:val="0"/>
          <w:numId w:val="3"/>
        </w:numPr>
        <w:spacing w:before="0" w:after="80" w:line="276"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Atualização do diagnóstico:</w:t>
      </w:r>
      <w:r>
        <w:rPr>
          <w:rFonts w:ascii="Times New Roman" w:cs="Times New Roman" w:eastAsia="Times New Roman" w:hAnsi="Times New Roman"/>
          <w:sz w:val="24"/>
          <w:szCs w:val="24"/>
        </w:rPr>
        <w:t xml:space="preserve"> os dados próprios da campanha substituem hipóteses na seção de Evidências e Hipóteses da Parte 1.</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19 – </w:t>
      </w:r>
      <w:r>
        <w:rPr>
          <w:rFonts w:ascii="Times New Roman" w:cs="Times New Roman" w:eastAsia="Times New Roman" w:hAnsi="Times New Roman"/>
          <w:sz w:val="24"/>
          <w:szCs w:val="24"/>
        </w:rPr>
        <w:t xml:space="preserve">Hipóteses da Parte 1 testadas pelo plano</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3229"/>
        <w:gridCol w:w="2900"/>
      </w:tblGrid>
      <w:tr>
        <w:trPr>
          <w:cantSplit w:val="1"/>
          <w:tblHeader w:val="1"/>
        </w:trPr>
        <w:tc>
          <w:tcPr>
            <w:tcW w:w="2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Hipótese da Parte 1</w:t>
            </w:r>
          </w:p>
        </w:tc>
        <w:tc>
          <w:tcPr>
            <w:tcW w:w="3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Como o plano testa</w:t>
            </w:r>
          </w:p>
        </w:tc>
        <w:tc>
          <w:tcPr>
            <w:tcW w:w="2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Leitura do resultado</w:t>
            </w:r>
          </w:p>
        </w:tc>
      </w:tr>
      <w:tr>
        <w:trPr>
          <w:cantSplit w:val="1"/>
        </w:trPr>
        <w:tc>
          <w:tcPr>
            <w:tcW w:w="2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Consumidores pagam mais pelo estilo de vida associado à marca do que pelos ingredientes do produto.</w:t>
            </w:r>
          </w:p>
        </w:tc>
        <w:tc>
          <w:tcPr>
            <w:tcW w:w="3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Compara a conversão sem desconto no PDV (A5) com a conversão com cupom nos aplicativos (A6).</w:t>
            </w:r>
          </w:p>
        </w:tc>
        <w:tc>
          <w:tcPr>
            <w:tcW w:w="2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 o PDV converte sem desconto, a hipótese se fortalece. Se só o cupom converte, o preço pesa mais que o significado.</w:t>
            </w:r>
          </w:p>
        </w:tc>
      </w:tr>
      <w:tr>
        <w:trPr>
          <w:cantSplit w:val="1"/>
        </w:trPr>
        <w:tc>
          <w:tcPr>
            <w:tcW w:w="2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O ecossistema de conteúdo gera alcance orgânico suficiente para reduzir a dependência de publicidade tradicional.</w:t>
            </w:r>
          </w:p>
        </w:tc>
        <w:tc>
          <w:tcPr>
            <w:tcW w:w="322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Mede a parcela do alcance de A1 e A3 que vem de conteúdo de usuários, compartilhamentos e imprensa, em relação ao alcance pago.</w:t>
            </w:r>
          </w:p>
        </w:tc>
        <w:tc>
          <w:tcPr>
            <w:tcW w:w="29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 a parcela orgânica chegar a 30% do alcance total (estimativa do grupo), a próxima rodada reduz a mídia paga.</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w:t>
      </w:r>
    </w:p>
    <w:p>
      <w:pPr>
        <w:keepNext w:val="1"/>
        <w:pageBreakBefore w:val="1"/>
        <w:spacing w:before="0" w:after="24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FECHAMENTO DO PLANO</w:t>
      </w: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Checklist final de coerência</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20 – </w:t>
      </w:r>
      <w:r>
        <w:rPr>
          <w:rFonts w:ascii="Times New Roman" w:cs="Times New Roman" w:eastAsia="Times New Roman" w:hAnsi="Times New Roman"/>
          <w:sz w:val="24"/>
          <w:szCs w:val="24"/>
        </w:rPr>
        <w:t xml:space="preserve">Checklist final do plano</w:t>
      </w:r>
    </w:p>
    <w:tbl>
      <w:tblPr>
        <w:tblStyle w:val="Table1"/>
        <w:tblW w:w="90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250"/>
        <w:gridCol w:w="4779"/>
      </w:tblGrid>
      <w:tr>
        <w:trPr>
          <w:cantSplit w:val="1"/>
          <w:tblHeader w:val="1"/>
        </w:trPr>
        <w:tc>
          <w:tcPr>
            <w:tcW w:w="3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Pergunta</w:t>
            </w:r>
          </w:p>
        </w:tc>
        <w:tc>
          <w:tcPr>
            <w:tcW w:w="12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Atendida?</w:t>
            </w:r>
          </w:p>
        </w:tc>
        <w:tc>
          <w:tcPr>
            <w:tcW w:w="47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center"/>
          </w:tcPr>
          <w:p>
            <w:pPr>
              <w:keepNext w:val="1"/>
              <w:spacing w:before="0" w:after="0" w:line="240" w:lineRule="auto"/>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Como e onde</w:t>
            </w:r>
          </w:p>
        </w:tc>
      </w:tr>
      <w:tr>
        <w:trPr>
          <w:cantSplit w:val="1"/>
        </w:trPr>
        <w:tc>
          <w:tcPr>
            <w:tcW w:w="3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 O problema ou oportunidade de comunicação está claro?</w:t>
            </w:r>
          </w:p>
        </w:tc>
        <w:tc>
          <w:tcPr>
            <w:tcW w:w="12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Sim</w:t>
            </w:r>
          </w:p>
        </w:tc>
        <w:tc>
          <w:tcPr>
            <w:tcW w:w="47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Seção 3 e complemento A: a associação exclusiva a esportes radicais afasta o público funcional, e o insight explica por quê.</w:t>
            </w:r>
          </w:p>
        </w:tc>
      </w:tr>
      <w:tr>
        <w:trPr>
          <w:cantSplit w:val="1"/>
        </w:trPr>
        <w:tc>
          <w:tcPr>
            <w:tcW w:w="3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 O público prioritário foi definido com precisão?</w:t>
            </w:r>
          </w:p>
        </w:tc>
        <w:tc>
          <w:tcPr>
            <w:tcW w:w="12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Sim</w:t>
            </w:r>
          </w:p>
        </w:tc>
        <w:tc>
          <w:tcPr>
            <w:tcW w:w="47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Universitários, trabalhadores remotos e profissionais do conhecimento de 18 a 35 anos (Parte 2), dimensionados no complemento A. A seção 4 descreve o público amplo (18 a 45 anos); o prioritário é o recorte de 18 a 35 anos.</w:t>
            </w:r>
          </w:p>
        </w:tc>
      </w:tr>
      <w:tr>
        <w:trPr>
          <w:cantSplit w:val="1"/>
        </w:trPr>
        <w:tc>
          <w:tcPr>
            <w:tcW w:w="3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 O objetivo de comunicação é mensurável?</w:t>
            </w:r>
          </w:p>
        </w:tc>
        <w:tc>
          <w:tcPr>
            <w:tcW w:w="12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Sim</w:t>
            </w:r>
          </w:p>
        </w:tc>
        <w:tc>
          <w:tcPr>
            <w:tcW w:w="47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Complemento B (fórmula com horizonte de três meses) e indicadores 3 e 4 do painel, com linha de base e meta.</w:t>
            </w:r>
          </w:p>
        </w:tc>
      </w:tr>
      <w:tr>
        <w:trPr>
          <w:cantSplit w:val="1"/>
        </w:trPr>
        <w:tc>
          <w:tcPr>
            <w:tcW w:w="3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 Posicionamento e mensagem central estão coerentes?</w:t>
            </w:r>
          </w:p>
        </w:tc>
        <w:tc>
          <w:tcPr>
            <w:tcW w:w="12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Sim</w:t>
            </w:r>
          </w:p>
        </w:tc>
        <w:tc>
          <w:tcPr>
            <w:tcW w:w="47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 declaração (C), as provas (D) e a big idea (8) partem do posicionamento “Combustível de Performance Intelectual e Criativa” e da mensagem “Asas para as suas conquistas diárias”.</w:t>
            </w:r>
          </w:p>
        </w:tc>
      </w:tr>
      <w:tr>
        <w:trPr>
          <w:cantSplit w:val="1"/>
        </w:trPr>
        <w:tc>
          <w:tcPr>
            <w:tcW w:w="3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 Os canais têm função na jornada?</w:t>
            </w:r>
          </w:p>
        </w:tc>
        <w:tc>
          <w:tcPr>
            <w:tcW w:w="12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Sim</w:t>
            </w:r>
          </w:p>
        </w:tc>
        <w:tc>
          <w:tcPr>
            <w:tcW w:w="47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Matriz jornada–canais (E), Figura 1 e Quadro 7: cada canal tem uma função e uma etapa.</w:t>
            </w:r>
          </w:p>
        </w:tc>
      </w:tr>
      <w:tr>
        <w:trPr>
          <w:cantSplit w:val="1"/>
        </w:trPr>
        <w:tc>
          <w:tcPr>
            <w:tcW w:w="3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 As ações estão ligadas aos objetivos?</w:t>
            </w:r>
          </w:p>
        </w:tc>
        <w:tc>
          <w:tcPr>
            <w:tcW w:w="12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Sim</w:t>
            </w:r>
          </w:p>
        </w:tc>
        <w:tc>
          <w:tcPr>
            <w:tcW w:w="47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Sete ações (Quadro 10 e Quadro 11), cada uma com motivo para existir, KPI e ligação com o painel; ver a tabela de rastreabilidade.</w:t>
            </w:r>
          </w:p>
        </w:tc>
      </w:tr>
      <w:tr>
        <w:trPr>
          <w:cantSplit w:val="1"/>
        </w:trPr>
        <w:tc>
          <w:tcPr>
            <w:tcW w:w="3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7. Cronograma, recursos e responsáveis são viáveis?</w:t>
            </w:r>
          </w:p>
        </w:tc>
        <w:tc>
          <w:tcPr>
            <w:tcW w:w="12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Sim, com premissas declaradas</w:t>
            </w:r>
          </w:p>
        </w:tc>
        <w:tc>
          <w:tcPr>
            <w:tcW w:w="47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Ondas em 13 semanas, cronograma semanal, governança com riscos e orçamento fictício de R$ 3,75 milhões (seções 11 e 12).</w:t>
            </w:r>
          </w:p>
        </w:tc>
      </w:tr>
      <w:tr>
        <w:trPr>
          <w:cantSplit w:val="1"/>
        </w:trPr>
        <w:tc>
          <w:tcPr>
            <w:tcW w:w="300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8. Os indicadores permitem avaliar e decidir?</w:t>
            </w:r>
          </w:p>
        </w:tc>
        <w:tc>
          <w:tcPr>
            <w:tcW w:w="1250"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Sim</w:t>
            </w:r>
          </w:p>
        </w:tc>
        <w:tc>
          <w:tcPr>
            <w:tcW w:w="4779" w:type="dxa"/>
            <w:tcBorders>
              <w:top w:color="c4c7c5" w:space="0" w:sz="6" w:val="single"/>
              <w:left w:color="c4c7c5" w:space="0" w:sz="6" w:val="single"/>
              <w:bottom w:color="c4c7c5" w:space="0" w:sz="6" w:val="single"/>
              <w:right w:color="c4c7c5" w:space="0" w:sz="6" w:val="single"/>
            </w:tcBorders>
            <w:tcMar>
              <w:top w:w="80" w:type="dxa"/>
              <w:left w:w="100" w:type="dxa"/>
              <w:bottom w:w="80" w:type="dxa"/>
              <w:right w:w="100" w:type="dxa"/>
            </w:tcMar>
            <w:vAlign w:val="top"/>
          </w:tcPr>
          <w:p>
            <w:pPr>
              <w:keepNext w:val="1"/>
              <w:spacing w:before="0" w:after="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Painel com seis indicadores, linha de base, meta, fonte, frequência e decisão (seção 13); critérios de decisão por ação (seção 14).</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 com base no checklist de Souza (2026c).</w:t>
      </w:r>
    </w:p>
    <w:p>
      <w:pPr>
        <w:spacing w:before="0" w:after="0" w:line="240" w:lineRule="auto"/>
        <w:rPr>
          <w:sz w:val="2"/>
          <w:szCs w:val="2"/>
        </w:rPr>
        <w:sectPr>
          <w:pgSz w:w="11909" w:h="16834" w:orient="portrait"/>
          <w:pgMar w:bottom="1440" w:top="1440" w:left="1440" w:right="1440" w:header="720" w:footer="720"/>
        </w:sectPr>
      </w:pPr>
    </w:p>
    <w:p>
      <w:pPr>
        <w:keepNext w:val="1"/>
        <w:spacing w:before="240" w:after="160" w:line="276"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Tabela de rastreabilidade (regra de ouro)</w:t>
      </w:r>
    </w:p>
    <w:p>
      <w:pPr>
        <w:spacing w:before="0" w:after="160" w:line="276"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Nenhuma ação aparece sem justificativa na etapa anterior: cada linha parte de uma faceta do problema de comunicação e chega a um indicador do painel (SOUZA, 2026a).</w:t>
      </w:r>
    </w:p>
    <w:p>
      <w:pPr>
        <w:keepNext w:val="1"/>
        <w:spacing w:before="200" w:after="80"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Quadro 21 – </w:t>
      </w:r>
      <w:r>
        <w:rPr>
          <w:rFonts w:ascii="Times New Roman" w:cs="Times New Roman" w:eastAsia="Times New Roman" w:hAnsi="Times New Roman"/>
          <w:sz w:val="24"/>
          <w:szCs w:val="24"/>
        </w:rPr>
        <w:t xml:space="preserve">Rastreabilidade: do problema ao indicador</w:t>
      </w:r>
    </w:p>
    <w:tbl>
      <w:tblPr>
        <w:tblStyle w:val="Table1"/>
        <w:tblW w:w="139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00"/>
        <w:gridCol w:w="2000"/>
        <w:gridCol w:w="2000"/>
        <w:gridCol w:w="1800"/>
        <w:gridCol w:w="1500"/>
        <w:gridCol w:w="2354"/>
      </w:tblGrid>
      <w:tr>
        <w:trPr>
          <w:cantSplit w:val="1"/>
          <w:tblHeader w:val="1"/>
        </w:trPr>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Problema (faceta)</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Público e insight</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Objetivo</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Mensagem</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Canal</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Ação</w:t>
            </w:r>
          </w:p>
        </w:tc>
        <w:tc>
          <w:tcPr>
            <w:tcW w:w="23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center"/>
          </w:tcPr>
          <w:p>
            <w:pPr>
              <w:keepNext w:val="1"/>
              <w:spacing w:before="0" w:after="0" w:line="2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Pr>
              <w:t xml:space="preserve">Indicador (KPI → painel)</w:t>
            </w:r>
          </w:p>
        </w:tc>
      </w:tr>
      <w:tr>
        <w:trPr>
          <w:cantSplit w:val="1"/>
        </w:trPr>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Associação exclusiva a esportes radicais e adrenalina</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Público frio: “minhas conquistas ninguém vê; não me vejo como radical”</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Ampliar a associação a foco, estudo e trabalho</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“Todo dia tem um voo” / “Asas para as suas conquistas diárias”</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TikTok, Reels, Shorts e YouTube</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A1 Transmissões do Dia a Dia</w:t>
            </w:r>
          </w:p>
        </w:tc>
        <w:tc>
          <w:tcPr>
            <w:tcW w:w="23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Alcance qualificado e retenção → painel 1, 2 e 3</w:t>
            </w:r>
          </w:p>
        </w:tc>
      </w:tr>
      <w:tr>
        <w:trPr>
          <w:cantSplit w:val="1"/>
        </w:trPr>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Dúvida sobre uso, composição e segurança; comparação com o café</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Público morno: quer energia na medida para o que importa</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Transformar interesse em consideração</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“Sua conquista de hoje tem método”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Hub no site, playlist e remarketing</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A2 Hub Modo Foco</w:t>
            </w:r>
          </w:p>
        </w:tc>
        <w:tc>
          <w:tcPr>
            <w:tcW w:w="23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Clique para compra → painel 4 e 5</w:t>
            </w:r>
          </w:p>
        </w:tc>
      </w:tr>
      <w:tr>
        <w:trPr>
          <w:cantSplit w:val="1"/>
        </w:trPr>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Percepção de que o produto não é para gente como o público</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Público morno: precisa se ver em pessoas parecidas</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Dar credibilidade à marca no novo território</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“Gente como você, voos como os seus”</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Conteúdo de usuários, stories e imprensa</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A3 Conquistas Reais</w:t>
            </w:r>
          </w:p>
        </w:tc>
        <w:tc>
          <w:tcPr>
            <w:tcW w:w="23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Participação qualificada e sentimento → painel 3 e 4</w:t>
            </w:r>
          </w:p>
        </w:tc>
      </w:tr>
      <w:tr>
        <w:trPr>
          <w:cantSplit w:val="1"/>
        </w:trPr>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Falta de experiência do produto no momento de foco</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Universitários e usuários de coworkings em semanas de provas</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Gerar experimentação e primeira compra</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“Sua pausa estratégica antes do próximo voo”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Ativação presencial e cupom no aplicativo</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A4 Pausa com Asas</w:t>
            </w:r>
          </w:p>
        </w:tc>
        <w:tc>
          <w:tcPr>
            <w:tcW w:w="23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Resgate do cupom → painel 5</w:t>
            </w:r>
          </w:p>
        </w:tc>
      </w:tr>
      <w:tr>
        <w:trPr>
          <w:cantSplit w:val="1"/>
        </w:trPr>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Preço premium e concorrência no PDV</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Público quente na rota do campus e do coworking</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Converter consideração em compra</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“Seu próximo voo: a entrega de hoje”</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Geladeira e materiais de PDV</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A5 Seu Próximo Voo (PDV)</w:t>
            </w:r>
          </w:p>
        </w:tc>
        <w:tc>
          <w:tcPr>
            <w:tcW w:w="23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Vendas em relação às lojas-controle → painel 5</w:t>
            </w:r>
          </w:p>
        </w:tc>
      </w:tr>
      <w:tr>
        <w:trPr>
          <w:cantSplit w:val="1"/>
        </w:trPr>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O momento de foco acontece em casa e a compra precisa ser fácil</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Quem estuda ou trabalha em casa (EaD e trabalho remoto)</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Facilitar compra e recompra</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“Seu combo de foco chega antes do prazo”</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iFood e Rappi</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A6 Combo Momento de Foco</w:t>
            </w:r>
          </w:p>
        </w:tc>
        <w:tc>
          <w:tcPr>
            <w:tcW w:w="23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Pedidos e recompra em 30 dias → painel 5 e 6</w:t>
            </w:r>
          </w:p>
        </w:tc>
      </w:tr>
      <w:tr>
        <w:trPr>
          <w:cantSplit w:val="1"/>
        </w:trPr>
        <w:tc>
          <w:tcPr>
            <w:tcW w:w="21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Uso pontual; marca esquecida entre os picos de demanda</w:t>
            </w:r>
          </w:p>
        </w:tc>
        <w:tc>
          <w:tcPr>
            <w:tcW w:w="22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Clientes e interessados com consentimento</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Manter a associação e reativar o consumo</w:t>
            </w:r>
          </w:p>
        </w:tc>
        <w:tc>
          <w:tcPr>
            <w:tcW w:w="20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“Registre seus voos da semana”</w:t>
            </w:r>
          </w:p>
        </w:tc>
        <w:tc>
          <w:tcPr>
            <w:tcW w:w="18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WhatsApp e e-mail</w:t>
            </w:r>
          </w:p>
        </w:tc>
        <w:tc>
          <w:tcPr>
            <w:tcW w:w="1500"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A7 Diário de Bordo</w:t>
            </w:r>
          </w:p>
        </w:tc>
        <w:tc>
          <w:tcPr>
            <w:tcW w:w="2354" w:type="dxa"/>
            <w:tcBorders>
              <w:top w:color="c4c7c5" w:space="0" w:sz="6" w:val="single"/>
              <w:left w:color="c4c7c5" w:space="0" w:sz="6" w:val="single"/>
              <w:bottom w:color="c4c7c5" w:space="0" w:sz="6" w:val="single"/>
              <w:right w:color="c4c7c5" w:space="0" w:sz="6" w:val="single"/>
            </w:tcBorders>
            <w:tcMar>
              <w:top w:w="60" w:type="dxa"/>
              <w:left w:w="70" w:type="dxa"/>
              <w:bottom w:w="60" w:type="dxa"/>
              <w:right w:w="70" w:type="dxa"/>
            </w:tcMar>
            <w:vAlign w:val="top"/>
          </w:tcPr>
          <w:p>
            <w:pPr>
              <w:keepNext w:val="1"/>
              <w:spacing w:before="0" w:after="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Base ativa e recompra de membros → painel 6</w:t>
            </w:r>
          </w:p>
        </w:tc>
      </w:tr>
    </w:tbl>
    <w:p>
      <w:pPr>
        <w:spacing w:before="60" w:after="240"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Fonte: elaborado pelo grupo (2026).</w:t>
      </w:r>
    </w:p>
    <w:p>
      <w:pPr>
        <w:spacing w:before="80" w:after="160" w:line="276"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Leitura vertical:</w:t>
      </w:r>
      <w:r>
        <w:rPr>
          <w:rFonts w:ascii="Times New Roman" w:cs="Times New Roman" w:eastAsia="Times New Roman" w:hAnsi="Times New Roman"/>
          <w:sz w:val="24"/>
          <w:szCs w:val="24"/>
        </w:rPr>
        <w:t xml:space="preserve"> todas as facetas derivam do problema da seção 3; todos os públicos são recortes do público prioritário da Parte 2; todos os objetivos desdobram o objetivo de comunicação (complemento B); todas as mensagens desdobram a mensagem central; e cada um dos seis indicadores do painel é alimentado por pelo menos uma ação.</w:t>
      </w:r>
    </w:p>
    <w:p>
      <w:pPr>
        <w:spacing w:before="0" w:after="0" w:line="240" w:lineRule="auto"/>
        <w:rPr>
          <w:sz w:val="2"/>
          <w:szCs w:val="2"/>
        </w:rPr>
        <w:sectPr>
          <w:pgSz w:w="16834" w:h="11909" w:orient="landscape"/>
          <w:pgMar w:bottom="1440" w:top="1440" w:left="1440" w:right="1440" w:header="720" w:footer="720"/>
        </w:sectPr>
      </w:pPr>
    </w:p>
    <w:p>
      <w:pPr>
        <w:spacing w:before="0" w:after="360" w:line="276"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REFERÊNCIAS</w:t>
      </w:r>
    </w:p>
    <w:p>
      <w:pPr>
        <w:spacing w:before="0" w:after="2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AGÊNCIA BRASIL. </w:t>
      </w:r>
      <w:r>
        <w:rPr>
          <w:rFonts w:ascii="Times New Roman" w:cs="Times New Roman" w:eastAsia="Times New Roman" w:hAnsi="Times New Roman"/>
          <w:b w:val="1"/>
          <w:bCs w:val="1"/>
          <w:sz w:val="24"/>
          <w:szCs w:val="24"/>
        </w:rPr>
        <w:t xml:space="preserve">Brasil tem mais alunos em cursos a distância que em presenciais.</w:t>
      </w:r>
      <w:r>
        <w:rPr>
          <w:rFonts w:ascii="Times New Roman" w:cs="Times New Roman" w:eastAsia="Times New Roman" w:hAnsi="Times New Roman"/>
          <w:sz w:val="24"/>
          <w:szCs w:val="24"/>
        </w:rPr>
        <w:t xml:space="preserve"> Brasília: EBC, set. 2025. Disponível em: https://agenciabrasil.ebc.com.br/educacao/noticia/2025-09/brasil-tem-mais-alunos-em-cursos-distancia-que-em-presenciais. Acesso em: 6 out. 2026.</w:t>
      </w:r>
    </w:p>
    <w:p>
      <w:pPr>
        <w:spacing w:before="0" w:after="2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CANALTECH. </w:t>
      </w:r>
      <w:r>
        <w:rPr>
          <w:rFonts w:ascii="Times New Roman" w:cs="Times New Roman" w:eastAsia="Times New Roman" w:hAnsi="Times New Roman"/>
          <w:b w:val="1"/>
          <w:bCs w:val="1"/>
          <w:sz w:val="24"/>
          <w:szCs w:val="24"/>
        </w:rPr>
        <w:t xml:space="preserve">Red Bull abre inscrições para competição mundial de inovação com IA.</w:t>
      </w:r>
      <w:r>
        <w:rPr>
          <w:rFonts w:ascii="Times New Roman" w:cs="Times New Roman" w:eastAsia="Times New Roman" w:hAnsi="Times New Roman"/>
          <w:sz w:val="24"/>
          <w:szCs w:val="24"/>
        </w:rPr>
        <w:t xml:space="preserve"> [S. l.]: Canaltech, [2024?]. Disponível em: https://canaltech.com.br/carreira/red-bull-abre-inscricoes-para-competicao-mundial-de-inovacao-com-ia/. Acesso em: 6 out. 2026.</w:t>
      </w:r>
    </w:p>
    <w:p>
      <w:pPr>
        <w:spacing w:before="0" w:after="2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GIRONEWS. </w:t>
      </w:r>
      <w:r>
        <w:rPr>
          <w:rFonts w:ascii="Times New Roman" w:cs="Times New Roman" w:eastAsia="Times New Roman" w:hAnsi="Times New Roman"/>
          <w:b w:val="1"/>
          <w:bCs w:val="1"/>
          <w:sz w:val="24"/>
          <w:szCs w:val="24"/>
        </w:rPr>
        <w:t xml:space="preserve">Baly Brasil ultrapassa Red Bull e assume vice-liderança no mercado nacional de energéticos.</w:t>
      </w:r>
      <w:r>
        <w:rPr>
          <w:rFonts w:ascii="Times New Roman" w:cs="Times New Roman" w:eastAsia="Times New Roman" w:hAnsi="Times New Roman"/>
          <w:sz w:val="24"/>
          <w:szCs w:val="24"/>
        </w:rPr>
        <w:t xml:space="preserve"> [S. l.]: GiroNews, 2025. Disponível em: https://gironews.com/informacoes-de-fornecedores/baly-brasil-ultrapassa-red-bull-e-assume-vice-lideranca-no-mercado-nacional-de-energeticos/. Acesso em: 6 out. 2026.</w:t>
      </w:r>
    </w:p>
    <w:p>
      <w:pPr>
        <w:spacing w:before="0" w:after="2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PODER360. </w:t>
      </w:r>
      <w:r>
        <w:rPr>
          <w:rFonts w:ascii="Times New Roman" w:cs="Times New Roman" w:eastAsia="Times New Roman" w:hAnsi="Times New Roman"/>
          <w:b w:val="1"/>
          <w:bCs w:val="1"/>
          <w:sz w:val="24"/>
          <w:szCs w:val="24"/>
        </w:rPr>
        <w:t xml:space="preserve">Brasil tinha 9,5 milhões de pessoas em trabalho remoto em 2022, diz IBGE.</w:t>
      </w:r>
      <w:r>
        <w:rPr>
          <w:rFonts w:ascii="Times New Roman" w:cs="Times New Roman" w:eastAsia="Times New Roman" w:hAnsi="Times New Roman"/>
          <w:sz w:val="24"/>
          <w:szCs w:val="24"/>
        </w:rPr>
        <w:t xml:space="preserve"> Brasília: Poder360, out. 2023. Disponível em: https://www.poder360.com.br/pesquisas/brasil-tinha-95-milhoes-de-pessoas-em-trabalho-remoto-em-2022-diz-ibge/. Acesso em: 6 out. 2026.</w:t>
      </w:r>
    </w:p>
    <w:p>
      <w:pPr>
        <w:spacing w:before="0" w:after="2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 BULL. </w:t>
      </w:r>
      <w:r>
        <w:rPr>
          <w:rFonts w:ascii="Times New Roman" w:cs="Times New Roman" w:eastAsia="Times New Roman" w:hAnsi="Times New Roman"/>
          <w:b w:val="1"/>
          <w:bCs w:val="1"/>
          <w:sz w:val="24"/>
          <w:szCs w:val="24"/>
        </w:rPr>
        <w:t xml:space="preserve">How many cans does Red Bull sell worldwide?</w:t>
      </w:r>
      <w:r>
        <w:rPr>
          <w:rFonts w:ascii="Times New Roman" w:cs="Times New Roman" w:eastAsia="Times New Roman" w:hAnsi="Times New Roman"/>
          <w:sz w:val="24"/>
          <w:szCs w:val="24"/>
        </w:rPr>
        <w:t xml:space="preserve"> [S. l.]: Red Bull, [2026]. Disponível em: https://www.redbull.com/int-en/energydrink/questions/how-many-cans-does-red-bull-sell-world-wide. Acesso em: 6 out. 2026.</w:t>
      </w:r>
    </w:p>
    <w:p>
      <w:pPr>
        <w:spacing w:before="0" w:after="2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RED BULL. </w:t>
      </w:r>
      <w:r>
        <w:rPr>
          <w:rFonts w:ascii="Times New Roman" w:cs="Times New Roman" w:eastAsia="Times New Roman" w:hAnsi="Times New Roman"/>
          <w:b w:val="1"/>
          <w:bCs w:val="1"/>
          <w:sz w:val="24"/>
          <w:szCs w:val="24"/>
        </w:rPr>
        <w:t xml:space="preserve">How much caffeine is in a can of Red Bull Energy Drink?</w:t>
      </w:r>
      <w:r>
        <w:rPr>
          <w:rFonts w:ascii="Times New Roman" w:cs="Times New Roman" w:eastAsia="Times New Roman" w:hAnsi="Times New Roman"/>
          <w:sz w:val="24"/>
          <w:szCs w:val="24"/>
        </w:rPr>
        <w:t xml:space="preserve"> [S. l.]: Red Bull, [20--]. Disponível em: https://www.redbull.com/int-en/energydrink/questions/how-much-caffeine-is-in-a-can-of-red-bull-energy-drink. Acesso em: 6 out. 2026.</w:t>
      </w:r>
    </w:p>
    <w:p>
      <w:pPr>
        <w:spacing w:before="0" w:after="2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SOUZA, Paulo Augusto Ramalho de. </w:t>
      </w:r>
      <w:r>
        <w:rPr>
          <w:rFonts w:ascii="Times New Roman" w:cs="Times New Roman" w:eastAsia="Times New Roman" w:hAnsi="Times New Roman"/>
          <w:b w:val="1"/>
          <w:bCs w:val="1"/>
          <w:sz w:val="24"/>
          <w:szCs w:val="24"/>
        </w:rPr>
        <w:t xml:space="preserve">Plano de Comunicação Integrada de Marketing:</w:t>
      </w:r>
      <w:r>
        <w:rPr>
          <w:rFonts w:ascii="Times New Roman" w:cs="Times New Roman" w:eastAsia="Times New Roman" w:hAnsi="Times New Roman"/>
          <w:sz w:val="24"/>
          <w:szCs w:val="24"/>
        </w:rPr>
        <w:t xml:space="preserve"> atividade consolidada das três partes da aula. Cuiabá: UFMT, 2026a. Material de aula (apresentação de slides).</w:t>
      </w:r>
    </w:p>
    <w:p>
      <w:pPr>
        <w:spacing w:before="0" w:after="2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SOUZA, Paulo Augusto Ramalho de. </w:t>
      </w:r>
      <w:r>
        <w:rPr>
          <w:rFonts w:ascii="Times New Roman" w:cs="Times New Roman" w:eastAsia="Times New Roman" w:hAnsi="Times New Roman"/>
          <w:b w:val="1"/>
          <w:bCs w:val="1"/>
          <w:sz w:val="24"/>
          <w:szCs w:val="24"/>
        </w:rPr>
        <w:t xml:space="preserve">Plano de Comunicação de Marketing:</w:t>
      </w:r>
      <w:r>
        <w:rPr>
          <w:rFonts w:ascii="Times New Roman" w:cs="Times New Roman" w:eastAsia="Times New Roman" w:hAnsi="Times New Roman"/>
          <w:sz w:val="24"/>
          <w:szCs w:val="24"/>
        </w:rPr>
        <w:t xml:space="preserve"> Aula 2 – arquitetura do plano. Cuiabá: UFMT, 2026b. Material de aula (apresentação de slides).</w:t>
      </w:r>
    </w:p>
    <w:p>
      <w:pPr>
        <w:spacing w:before="0" w:after="240" w:line="24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SOUZA, Paulo Augusto Ramalho de. </w:t>
      </w:r>
      <w:r>
        <w:rPr>
          <w:rFonts w:ascii="Times New Roman" w:cs="Times New Roman" w:eastAsia="Times New Roman" w:hAnsi="Times New Roman"/>
          <w:b w:val="1"/>
          <w:bCs w:val="1"/>
          <w:sz w:val="24"/>
          <w:szCs w:val="24"/>
        </w:rPr>
        <w:t xml:space="preserve">Plano de Comunicação de Marketing:</w:t>
      </w:r>
      <w:r>
        <w:rPr>
          <w:rFonts w:ascii="Times New Roman" w:cs="Times New Roman" w:eastAsia="Times New Roman" w:hAnsi="Times New Roman"/>
          <w:sz w:val="24"/>
          <w:szCs w:val="24"/>
        </w:rPr>
        <w:t xml:space="preserve"> Parte 3 – execução e mensuração. Cuiabá: UFMT, 2026c. Material de aula (apresentação de slides).</w:t>
      </w:r>
    </w:p>
    <w:sectPr>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100" Type="http://schemas.openxmlformats.org/officeDocument/2006/relationships/image" Target="media/figura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