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Rule="auto"/>
        <w:jc w:val="center"/>
        <w:rPr/>
      </w:pPr>
      <w:r w:rsidDel="00000000" w:rsidR="00000000" w:rsidRPr="00000000">
        <w:rPr/>
        <w:drawing>
          <wp:inline distB="114300" distT="114300" distL="114300" distR="114300">
            <wp:extent cx="546100" cy="533400"/>
            <wp:effectExtent b="0" l="0" r="0" t="0"/>
            <wp:docPr descr="080c435726a7b0e9f3c6d1c547e516bc.png" id="1" name="image1.png"/>
            <a:graphic>
              <a:graphicData uri="http://schemas.openxmlformats.org/drawingml/2006/picture">
                <pic:pic>
                  <pic:nvPicPr>
                    <pic:cNvPr descr="080c435726a7b0e9f3c6d1c547e516bc.png" id="0" name="image1.png"/>
                    <pic:cNvPicPr preferRelativeResize="0"/>
                  </pic:nvPicPr>
                  <pic:blipFill>
                    <a:blip r:embed="rId6"/>
                    <a:srcRect b="0" l="0" r="0" t="0"/>
                    <a:stretch>
                      <a:fillRect/>
                    </a:stretch>
                  </pic:blipFill>
                  <pic:spPr>
                    <a:xfrm>
                      <a:off x="0" y="0"/>
                      <a:ext cx="5461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0" w:lineRule="auto" w:after="0" w:line="27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UNIVERSIDADE FEDERAL DE MATO GROSSO – UFMT</w:t>
      </w:r>
    </w:p>
    <w:p w:rsidR="00000000" w:rsidDel="00000000" w:rsidP="00000000" w:rsidRDefault="00000000" w:rsidRPr="00000000" w14:paraId="00000003">
      <w:pPr>
        <w:spacing w:before="0"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CAMPUS DE CUIABÁ</w:t>
      </w:r>
    </w:p>
    <w:p w:rsidR="00000000" w:rsidDel="00000000" w:rsidP="00000000" w:rsidRDefault="00000000" w:rsidRPr="00000000" w14:paraId="00000004">
      <w:pPr>
        <w:spacing w:before="0"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DEPARTAMENTO / CURSO DE ADMINISTRAÇÃO</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8">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Cauã Carlos</w:t>
      </w:r>
    </w:p>
    <w:p w:rsidR="00000000" w:rsidDel="00000000" w:rsidP="00000000" w:rsidRDefault="00000000" w:rsidRPr="00000000" w14:paraId="0000000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Emanuelly Pinheiro</w:t>
      </w:r>
    </w:p>
    <w:p w:rsidR="00000000" w:rsidDel="00000000" w:rsidP="00000000" w:rsidRDefault="00000000" w:rsidRPr="00000000" w14:paraId="0000000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 Eduarda Perez</w:t>
      </w:r>
    </w:p>
    <w:p w:rsidR="00000000" w:rsidDel="00000000" w:rsidP="00000000" w:rsidRDefault="00000000" w:rsidRPr="00000000" w14:paraId="0000000D">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Rafaela Fontes</w:t>
      </w:r>
    </w:p>
    <w:p w:rsidR="00000000" w:rsidDel="00000000" w:rsidP="00000000" w:rsidRDefault="00000000" w:rsidRPr="00000000" w14:paraId="0000000E">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Yasmin Iara </w:t>
      </w:r>
    </w:p>
    <w:p w:rsidR="00000000" w:rsidDel="00000000" w:rsidP="00000000" w:rsidRDefault="00000000" w:rsidRPr="00000000" w14:paraId="0000000F">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4">
      <w:pPr>
        <w:spacing w:before="20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ADMINISTRAÇÃO COMUNICAÇÃO INTEGRADA AO MARKETING:</w:t>
      </w:r>
    </w:p>
    <w:p w:rsidR="00000000" w:rsidDel="00000000" w:rsidP="00000000" w:rsidRDefault="00000000" w:rsidRPr="00000000" w14:paraId="0000001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ESTUDO DE CASO: RED BULL ENERGY DRINK</w:t>
      </w:r>
    </w:p>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0">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3">
      <w:pPr>
        <w:pageBreakBefore w:val="1"/>
        <w:spacing w:before="20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ADMINISTRAÇÃO COMUNICAÇÃO INTEGRADA AO MARKETING:</w:t>
      </w:r>
    </w:p>
    <w:p w:rsidR="00000000" w:rsidDel="00000000" w:rsidP="00000000" w:rsidRDefault="00000000" w:rsidRPr="00000000" w14:paraId="0000002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ESTUDO DE CASO: RED BULL ENERGY DRINK</w:t>
      </w:r>
    </w:p>
    <w:p w:rsidR="00000000" w:rsidDel="00000000" w:rsidP="00000000" w:rsidRDefault="00000000" w:rsidRPr="00000000" w14:paraId="000000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D">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E">
      <w:pPr>
        <w:spacing w:before="200" w:lineRule="auto"/>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F">
      <w:pPr>
        <w:spacing w:line="240" w:lineRule="auto"/>
        <w:ind w:left="453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apresentado à Universidade Federal de Mato Grosso (UFMT), como requisito parcial para obtenção de nota na disciplina de Comunicação Integrada ao Marketing.</w:t>
      </w:r>
    </w:p>
    <w:p w:rsidR="00000000" w:rsidDel="00000000" w:rsidP="00000000" w:rsidRDefault="00000000" w:rsidRPr="00000000" w14:paraId="0000003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Paulo Augusto Ramalho de Souza </w:t>
      </w:r>
    </w:p>
    <w:p w:rsidR="00000000" w:rsidDel="00000000" w:rsidP="00000000" w:rsidRDefault="00000000" w:rsidRPr="00000000" w14:paraId="0000003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D">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42">
      <w:pPr>
        <w:jc w:val="center"/>
        <w:rPr>
          <w:rFonts w:ascii="Times New Roman" w:cs="Times New Roman" w:eastAsia="Times New Roman" w:hAnsi="Times New Roman"/>
          <w:sz w:val="24"/>
          <w:szCs w:val="24"/>
        </w:rPr>
        <w:sectPr>
          <w:pgSz w:w="11909" w:h="16834" w:orient="portrait"/>
          <w:pgMar w:top="1440" w:right="1440" w:bottom="1440" w:left="1440" w:header="1134" w:footer="720"/>
          <w:pgNumType w:start="1"/>
        </w:sect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44">
      <w:pPr>
        <w:keepNext w:val="1"/>
        <w:spacing w:before="0" w:after="240" w:lineRule="auto" w:line="276"/>
        <w:outlineLv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Escolha uma organização real</w:t>
      </w:r>
    </w:p>
    <w:p w:rsidR="00000000" w:rsidDel="00000000" w:rsidP="00000000" w:rsidRDefault="00000000" w:rsidRPr="00000000" w14:paraId="0000004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Red Bull Energy Drink</w:t>
      </w:r>
    </w:p>
    <w:p w:rsidR="00000000" w:rsidDel="00000000" w:rsidP="00000000" w:rsidRDefault="00000000" w:rsidRPr="00000000" w14:paraId="00000048">
      <w:pPr>
        <w:keepNext w:val="1"/>
        <w:spacing w:after="240" w:lineRule="auto" w:before="360" w:line="276"/>
        <w:outlineLv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Definição do Produto, Serviço e Mercado</w:t>
      </w:r>
    </w:p>
    <w:p w:rsidR="00000000" w:rsidDel="00000000" w:rsidP="00000000" w:rsidRDefault="00000000" w:rsidRPr="00000000" w14:paraId="00000049">
      <w:pPr>
        <w:numPr>
          <w:ilvl w:val="0"/>
          <w:numId w:val="3"/>
        </w:numPr>
        <w:spacing w:after="6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Produto:</w:t>
      </w:r>
      <w:r w:rsidDel="00000000" w:rsidR="00000000" w:rsidRPr="00000000">
        <w:rPr>
          <w:rFonts w:ascii="Times New Roman" w:cs="Times New Roman" w:eastAsia="Times New Roman" w:hAnsi="Times New Roman"/>
          <w:sz w:val="24"/>
          <w:szCs w:val="24"/>
          <w:rtl w:val="0"/>
        </w:rPr>
        <w:t xml:space="preserve"> Bebida energética funcional com cafeína, taurina e vitaminas do complexo B com versões sem açúcar e de diversos sabores.</w:t>
      </w:r>
      <w:r w:rsidDel="00000000" w:rsidR="00000000" w:rsidRPr="00000000">
        <w:rPr>
          <w:rtl w:val="0"/>
        </w:rPr>
      </w:r>
    </w:p>
    <w:p w:rsidR="00000000" w:rsidDel="00000000" w:rsidP="00000000" w:rsidRDefault="00000000" w:rsidRPr="00000000" w14:paraId="0000004A">
      <w:pPr>
        <w:numPr>
          <w:ilvl w:val="0"/>
          <w:numId w:val="3"/>
        </w:numPr>
        <w:spacing w:after="6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Serviço:</w:t>
      </w:r>
      <w:r w:rsidDel="00000000" w:rsidR="00000000" w:rsidRPr="00000000">
        <w:rPr>
          <w:rFonts w:ascii="Times New Roman" w:cs="Times New Roman" w:eastAsia="Times New Roman" w:hAnsi="Times New Roman"/>
          <w:sz w:val="24"/>
          <w:szCs w:val="24"/>
          <w:rtl w:val="0"/>
        </w:rPr>
        <w:t xml:space="preserve"> Venda de bebidas energéticas, produção de conteúdo de mídia (Red Bull Media House), organização e patrocínio de eventos esportivos e culturais extremizados.</w:t>
      </w:r>
      <w:r w:rsidDel="00000000" w:rsidR="00000000" w:rsidRPr="00000000">
        <w:rPr>
          <w:rtl w:val="0"/>
        </w:rPr>
      </w:r>
    </w:p>
    <w:p w:rsidR="00000000" w:rsidDel="00000000" w:rsidP="00000000" w:rsidRDefault="00000000" w:rsidRPr="00000000" w14:paraId="0000004B">
      <w:pPr>
        <w:numPr>
          <w:ilvl w:val="0"/>
          <w:numId w:val="3"/>
        </w:numPr>
        <w:spacing w:after="24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Mercado:</w:t>
      </w:r>
      <w:r w:rsidDel="00000000" w:rsidR="00000000" w:rsidRPr="00000000">
        <w:rPr>
          <w:rFonts w:ascii="Times New Roman" w:cs="Times New Roman" w:eastAsia="Times New Roman" w:hAnsi="Times New Roman"/>
          <w:sz w:val="24"/>
          <w:szCs w:val="24"/>
          <w:rtl w:val="0"/>
        </w:rPr>
        <w:t xml:space="preserve"> Bebidas não alcoólicas / Energéticos (RTD - Ready to Drink), além dos setores de mídia, entretenimento esportivo e eSports.</w:t>
      </w:r>
      <w:r w:rsidDel="00000000" w:rsidR="00000000" w:rsidRPr="00000000">
        <w:rPr>
          <w:rtl w:val="0"/>
        </w:rPr>
      </w:r>
    </w:p>
    <w:p w:rsidR="00000000" w:rsidDel="00000000" w:rsidP="00000000" w:rsidRDefault="00000000" w:rsidRPr="00000000" w14:paraId="0000004D">
      <w:pPr>
        <w:keepNext w:val="1"/>
        <w:spacing w:after="240" w:lineRule="auto" w:before="360" w:line="276"/>
        <w:outlineLv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Evidências e Hipóteses</w:t>
      </w:r>
    </w:p>
    <w:p w:rsidR="00000000" w:rsidDel="00000000" w:rsidP="00000000" w:rsidRDefault="00000000" w:rsidRPr="00000000" w14:paraId="0000004E">
      <w:pPr>
        <w:numPr>
          <w:ilvl w:val="0"/>
          <w:numId w:val="1"/>
        </w:numPr>
        <w:spacing w:after="6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Evidências:</w:t>
      </w:r>
      <w:r w:rsidDel="00000000" w:rsidR="00000000" w:rsidRPr="00000000">
        <w:rPr>
          <w:rtl w:val="0"/>
        </w:rPr>
      </w:r>
    </w:p>
    <w:p w:rsidR="00000000" w:rsidDel="00000000" w:rsidP="00000000" w:rsidRDefault="00000000" w:rsidRPr="00000000" w14:paraId="0000004F">
      <w:pPr>
        <w:numPr>
          <w:ilvl w:val="0"/>
          <w:numId w:val="2"/>
        </w:numPr>
        <w:spacing w:after="60" w:lineRule="auto" w:line="276"/>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Liderança de </w:t>
      </w:r>
      <w:r w:rsidDel="00000000" w:rsidR="00000000" w:rsidRPr="00000000">
        <w:rPr>
          <w:rFonts w:ascii="Times New Roman" w:cs="Times New Roman" w:eastAsia="Times New Roman" w:hAnsi="Times New Roman"/>
          <w:i w:val="1"/>
          <w:iCs w:val="1"/>
          <w:sz w:val="24"/>
          <w:szCs w:val="24"/>
          <w:rtl w:val="0"/>
        </w:rPr>
        <w:t xml:space="preserve">market share</w:t>
      </w:r>
      <w:r w:rsidDel="00000000" w:rsidR="00000000" w:rsidRPr="00000000">
        <w:rPr>
          <w:rFonts w:ascii="Times New Roman" w:cs="Times New Roman" w:eastAsia="Times New Roman" w:hAnsi="Times New Roman"/>
          <w:sz w:val="24"/>
          <w:szCs w:val="24"/>
          <w:rtl w:val="0"/>
        </w:rPr>
        <w:t xml:space="preserve"> global no segmento de energéticos.</w:t>
      </w:r>
    </w:p>
    <w:p w:rsidR="00000000" w:rsidDel="00000000" w:rsidP="00000000" w:rsidRDefault="00000000" w:rsidRPr="00000000" w14:paraId="00000050">
      <w:pPr>
        <w:numPr>
          <w:ilvl w:val="0"/>
          <w:numId w:val="2"/>
        </w:numPr>
        <w:spacing w:after="60" w:lineRule="auto" w:line="276"/>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Presença massiva em esportes radicais, Fórmula 1 (Red Bull Racing) e eSports.</w:t>
      </w:r>
    </w:p>
    <w:p w:rsidR="00000000" w:rsidDel="00000000" w:rsidP="00000000" w:rsidRDefault="00000000" w:rsidRPr="00000000" w14:paraId="00000051">
      <w:pPr>
        <w:numPr>
          <w:ilvl w:val="0"/>
          <w:numId w:val="2"/>
        </w:numPr>
        <w:spacing w:after="240" w:lineRule="auto" w:line="276"/>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Preço praticado acima da média dos concorrentes (</w:t>
      </w:r>
      <w:r w:rsidDel="00000000" w:rsidR="00000000" w:rsidRPr="00000000">
        <w:rPr>
          <w:rFonts w:ascii="Times New Roman" w:cs="Times New Roman" w:eastAsia="Times New Roman" w:hAnsi="Times New Roman"/>
          <w:i w:val="1"/>
          <w:iCs w:val="1"/>
          <w:sz w:val="24"/>
          <w:szCs w:val="24"/>
          <w:rtl w:val="0"/>
        </w:rPr>
        <w:t xml:space="preserve">premium pricing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3">
      <w:pPr>
        <w:numPr>
          <w:ilvl w:val="0"/>
          <w:numId w:val="1"/>
        </w:numPr>
        <w:spacing w:after="6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Hipóteses:</w:t>
      </w:r>
      <w:r w:rsidDel="00000000" w:rsidR="00000000" w:rsidRPr="00000000">
        <w:rPr>
          <w:rtl w:val="0"/>
        </w:rPr>
      </w:r>
    </w:p>
    <w:p w:rsidR="00000000" w:rsidDel="00000000" w:rsidP="00000000" w:rsidRDefault="00000000" w:rsidRPr="00000000" w14:paraId="00000054">
      <w:pPr>
        <w:numPr>
          <w:ilvl w:val="0"/>
          <w:numId w:val="5"/>
        </w:numPr>
        <w:spacing w:after="60" w:lineRule="auto" w:line="276"/>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Consumidores pagam mais pelo estilo de vida associado à marca do que pelos ingredientes do produto.</w:t>
      </w:r>
    </w:p>
    <w:p w:rsidR="00000000" w:rsidDel="00000000" w:rsidP="00000000" w:rsidRDefault="00000000" w:rsidRPr="00000000" w14:paraId="00000055">
      <w:pPr>
        <w:numPr>
          <w:ilvl w:val="0"/>
          <w:numId w:val="5"/>
        </w:numPr>
        <w:spacing w:after="240" w:lineRule="auto" w:line="276"/>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ecossistema de conteúdo gera alcance orgânico suficiente para reduzir a dependência de publicidade tradicional.</w:t>
      </w:r>
    </w:p>
    <w:p w:rsidR="00000000" w:rsidDel="00000000" w:rsidP="00000000" w:rsidRDefault="00000000" w:rsidRPr="00000000" w14:paraId="00000057">
      <w:pPr>
        <w:keepNext w:val="1"/>
        <w:spacing w:after="240" w:lineRule="auto" w:before="360" w:line="276"/>
        <w:outlineLv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Problema de Comunicação</w:t>
      </w:r>
    </w:p>
    <w:p w:rsidR="00000000" w:rsidDel="00000000" w:rsidP="00000000" w:rsidRDefault="00000000" w:rsidRPr="00000000" w14:paraId="00000058">
      <w:pPr>
        <w:numPr>
          <w:ilvl w:val="0"/>
          <w:numId w:val="6"/>
        </w:numPr>
        <w:spacing w:after="6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Desafio Central:</w:t>
      </w:r>
      <w:r w:rsidDel="00000000" w:rsidR="00000000" w:rsidRPr="00000000">
        <w:rPr>
          <w:rFonts w:ascii="Times New Roman" w:cs="Times New Roman" w:eastAsia="Times New Roman" w:hAnsi="Times New Roman"/>
          <w:sz w:val="24"/>
          <w:szCs w:val="24"/>
          <w:rtl w:val="0"/>
        </w:rPr>
        <w:t xml:space="preserve"> A saturação do ecossistema de alta adrenalina e a mudança nas preferências de consumo de jovens adultos.</w:t>
      </w:r>
      <w:r w:rsidDel="00000000" w:rsidR="00000000" w:rsidRPr="00000000">
        <w:rPr>
          <w:rtl w:val="0"/>
        </w:rPr>
      </w:r>
    </w:p>
    <w:p w:rsidR="00000000" w:rsidDel="00000000" w:rsidP="00000000" w:rsidRDefault="00000000" w:rsidRPr="00000000" w14:paraId="00000059">
      <w:pPr>
        <w:numPr>
          <w:ilvl w:val="0"/>
          <w:numId w:val="6"/>
        </w:numPr>
        <w:spacing w:after="24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Tensão:</w:t>
      </w:r>
      <w:r w:rsidDel="00000000" w:rsidR="00000000" w:rsidRPr="00000000">
        <w:rPr>
          <w:rFonts w:ascii="Times New Roman" w:cs="Times New Roman" w:eastAsia="Times New Roman" w:hAnsi="Times New Roman"/>
          <w:sz w:val="24"/>
          <w:szCs w:val="24"/>
          <w:rtl w:val="0"/>
        </w:rPr>
        <w:t xml:space="preserve"> O foco histórico em esportes radicais e energia extrema pode afastar consumidores funcionais (estudantes, profissionais em trabalho remoto) que buscam foco e bem-estar sem a estética agitada dos esportes radicais que a marca da Red Bull incentiva.</w:t>
      </w:r>
      <w:r w:rsidDel="00000000" w:rsidR="00000000" w:rsidRPr="00000000">
        <w:rPr>
          <w:rtl w:val="0"/>
        </w:rPr>
      </w:r>
    </w:p>
    <w:p w:rsidR="00000000" w:rsidDel="00000000" w:rsidP="00000000" w:rsidRDefault="00000000" w:rsidRPr="00000000" w14:paraId="0000005D">
      <w:pPr>
        <w:keepNext w:val="1"/>
        <w:spacing w:after="240" w:lineRule="auto" w:before="360" w:line="276"/>
        <w:outlineLv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Público-Alvo e Persona</w:t>
      </w:r>
    </w:p>
    <w:p w:rsidR="00000000" w:rsidDel="00000000" w:rsidP="00000000" w:rsidRDefault="00000000" w:rsidRPr="00000000" w14:paraId="0000005E">
      <w:pPr>
        <w:numPr>
          <w:ilvl w:val="0"/>
          <w:numId w:val="4"/>
        </w:numPr>
        <w:spacing w:after="6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Demográfico:</w:t>
      </w:r>
      <w:r w:rsidDel="00000000" w:rsidR="00000000" w:rsidRPr="00000000">
        <w:rPr>
          <w:rFonts w:ascii="Times New Roman" w:cs="Times New Roman" w:eastAsia="Times New Roman" w:hAnsi="Times New Roman"/>
          <w:sz w:val="24"/>
          <w:szCs w:val="24"/>
          <w:rtl w:val="0"/>
        </w:rPr>
        <w:t xml:space="preserve"> Jovens e adultos de 18 a 45 anos, estudantes, atletas amadores, </w:t>
      </w:r>
      <w:r w:rsidDel="00000000" w:rsidR="00000000" w:rsidRPr="00000000">
        <w:rPr>
          <w:rFonts w:ascii="Times New Roman" w:cs="Times New Roman" w:eastAsia="Times New Roman" w:hAnsi="Times New Roman"/>
          <w:i w:val="1"/>
          <w:iCs w:val="1"/>
          <w:sz w:val="24"/>
          <w:szCs w:val="24"/>
          <w:rtl w:val="0"/>
        </w:rPr>
        <w:t xml:space="preserve">gamers</w:t>
      </w:r>
      <w:r w:rsidDel="00000000" w:rsidR="00000000" w:rsidRPr="00000000">
        <w:rPr>
          <w:rFonts w:ascii="Times New Roman" w:cs="Times New Roman" w:eastAsia="Times New Roman" w:hAnsi="Times New Roman"/>
          <w:sz w:val="24"/>
          <w:szCs w:val="24"/>
          <w:rtl w:val="0"/>
        </w:rPr>
        <w:t xml:space="preserve"> e profissionais dinâmicos.</w:t>
      </w:r>
      <w:r w:rsidDel="00000000" w:rsidR="00000000" w:rsidRPr="00000000">
        <w:rPr>
          <w:rtl w:val="0"/>
        </w:rPr>
      </w:r>
    </w:p>
    <w:p w:rsidR="00000000" w:rsidDel="00000000" w:rsidP="00000000" w:rsidRDefault="00000000" w:rsidRPr="00000000" w14:paraId="0000005F">
      <w:pPr>
        <w:numPr>
          <w:ilvl w:val="0"/>
          <w:numId w:val="4"/>
        </w:numPr>
        <w:spacing w:after="240" w:lineRule="auto" w:line="276"/>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Psicográfico:</w:t>
      </w:r>
      <w:r w:rsidDel="00000000" w:rsidR="00000000" w:rsidRPr="00000000">
        <w:rPr>
          <w:rFonts w:ascii="Times New Roman" w:cs="Times New Roman" w:eastAsia="Times New Roman" w:hAnsi="Times New Roman"/>
          <w:sz w:val="24"/>
          <w:szCs w:val="24"/>
          <w:rtl w:val="0"/>
        </w:rPr>
        <w:t xml:space="preserve"> Pessoas focadas em performance, alto rendimento, busca por experiências intensas e otimização do tempo. </w:t>
      </w:r>
      <w:r w:rsidDel="00000000" w:rsidR="00000000" w:rsidRPr="00000000">
        <w:rPr>
          <w:rtl w:val="0"/>
        </w:rPr>
      </w:r>
    </w:p>
    <w:p w:rsidR="00000000" w:rsidDel="00000000" w:rsidP="00000000" w:rsidRDefault="00000000" w:rsidRPr="00000000" w14:paraId="00000061">
      <w:pPr>
        <w:keepNext w:val="1"/>
        <w:spacing w:after="240" w:lineRule="auto" w:before="360" w:line="276"/>
        <w:outlineLv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Jornada do Consumidor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4"/>
        <w:gridCol w:w="3174"/>
        <w:gridCol w:w="3821"/>
        <w:tblGridChange w:id="0">
          <w:tblGrid>
            <w:gridCol w:w="1980"/>
            <w:gridCol w:w="3090"/>
            <w:gridCol w:w="3720"/>
          </w:tblGrid>
        </w:tblGridChange>
      </w:tblGrid>
      <w:tr>
        <w:trPr>
          <w:cantSplit w:val="1"/>
          <w:tblHeader w:val="1"/>
        </w:trPr>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2">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Etapa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3">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Ação do Consumidor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4">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Ponto de Contato com a Red Bull</w:t>
            </w:r>
            <w:r w:rsidDel="00000000" w:rsidR="00000000" w:rsidRPr="00000000">
              <w:rPr>
                <w:rtl w:val="0"/>
              </w:rPr>
            </w:r>
          </w:p>
        </w:tc>
      </w:tr>
      <w:tr>
        <w:trPr>
          <w:cantSplit w:val="1"/>
        </w:trPr>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5">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Descoberta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6">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 estímulo para estudar, trabalhar até tarde ou praticar esportes.</w:t>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7">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Vídeos de esportes radicais no YouTube/TikTok, patrocínio na F1 ou eSports.</w:t>
            </w:r>
          </w:p>
        </w:tc>
      </w:tr>
      <w:tr>
        <w:trPr>
          <w:cantSplit w:val="1"/>
        </w:trPr>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8">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Consideração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9">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 opções de energia no ponto de venda ou aplicativo de entrega.</w:t>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A">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Geladeiras personalizadas da marca no PDV, latas organizadas por funcionalidade.</w:t>
            </w:r>
          </w:p>
        </w:tc>
      </w:tr>
      <w:tr>
        <w:trPr>
          <w:cantSplit w:val="1"/>
        </w:trPr>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B">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C">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Adquire a lata em conveniências, supermercados ou festivais.</w:t>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D">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Comunicação no PDV reforçando o benefício funcional (</w:t>
            </w:r>
            <w:r w:rsidDel="00000000" w:rsidR="00000000" w:rsidRPr="00000000">
              <w:rPr>
                <w:rFonts w:ascii="Times New Roman" w:cs="Times New Roman" w:eastAsia="Times New Roman" w:hAnsi="Times New Roman"/>
                <w:i w:val="1"/>
                <w:iCs w:val="1"/>
                <w:sz w:val="24"/>
                <w:szCs w:val="24"/>
                <w:rtl w:val="0"/>
              </w:rPr>
              <w:t xml:space="preserve">"Red Bull te dá asas"</w:t>
            </w:r>
            <w:r w:rsidDel="00000000" w:rsidR="00000000" w:rsidRPr="00000000">
              <w:rPr>
                <w:rFonts w:ascii="Times New Roman" w:cs="Times New Roman" w:eastAsia="Times New Roman" w:hAnsi="Times New Roman"/>
                <w:sz w:val="24"/>
                <w:szCs w:val="24"/>
                <w:rtl w:val="0"/>
              </w:rPr>
              <w:t xml:space="preserve">).</w:t>
            </w:r>
          </w:p>
        </w:tc>
      </w:tr>
      <w:tr>
        <w:trPr>
          <w:cantSplit w:val="1"/>
        </w:trPr>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E">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Consumo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6F">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Consome durante o momento de foco ou atividade intensa.</w:t>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70">
            <w:pPr>
              <w:keepNext w:val="1"/>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Experiência com a bebida (sabor, efeito imediato da cafeína).</w:t>
            </w:r>
          </w:p>
        </w:tc>
      </w:tr>
      <w:tr>
        <w:trPr>
          <w:cantSplit w:val="1"/>
        </w:trPr>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71">
            <w:pPr>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Fidelização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72">
            <w:pPr>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 a marca ao seu estilo de vida diário.</w:t>
            </w:r>
          </w:p>
        </w:tc>
        <w:tc>
          <w:tcPr>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rsidR="00000000" w:rsidDel="00000000" w:rsidP="00000000" w:rsidRDefault="00000000" w:rsidRPr="00000000" w14:paraId="00000073">
            <w:pPr>
              <w:spacing w:after="0" w:lineRule="auto" w:line="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Redes sociais da marca, eventos presenciais .</w:t>
            </w:r>
          </w:p>
        </w:tc>
      </w:tr>
    </w:tbl>
    <w:p w:rsidR="00000000" w:rsidDel="00000000" w:rsidP="00000000" w:rsidRDefault="00000000" w:rsidRPr="00000000" w14:paraId="00000078">
      <w:pPr>
        <w:keepNext w:val="1"/>
        <w:spacing w:before="480"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 objetivo responde ao problema de comunicação? </w:t>
      </w:r>
      <w:r w:rsidDel="00000000" w:rsidR="00000000" w:rsidRPr="00000000">
        <w:rPr>
          <w:rtl w:val="0"/>
        </w:rPr>
      </w:r>
    </w:p>
    <w:p w:rsidR="00000000" w:rsidDel="00000000" w:rsidP="00000000" w:rsidRDefault="00000000" w:rsidRPr="00000000" w14:paraId="0000007A">
      <w:pPr>
        <w:spacing w:before="0"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Red Bull enfrenta uma saturação na percepção da marca, uma vez que a associação exclusiva a esportes radicais e adrenalina extrema acaba por afastar o público que busca energia para tarefas cotidianas de foco, estudo e trabalho.</w:t>
      </w:r>
    </w:p>
    <w:p w:rsidR="00000000" w:rsidDel="00000000" w:rsidP="00000000" w:rsidRDefault="00000000" w:rsidRPr="00000000" w14:paraId="0000007C">
      <w:pPr>
        <w:spacing w:before="0"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ideal seria expandir a percepção da marca de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para esportes extremos</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e clareza mental para o alto rendimento diário</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aumentando a consideração de compra do público funcional (estudantes e profissionais) sem perder a essência da marca.  </w:t>
      </w:r>
    </w:p>
    <w:p w:rsidR="00000000" w:rsidDel="00000000" w:rsidP="00000000" w:rsidRDefault="00000000" w:rsidRPr="00000000" w14:paraId="0000007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público prioritário é específico e justificável?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no caso o público prioritário seriam os trabalhadores remotos, profissionais do conhecimento e estudantes universitários em rotinas intensas de produtividade (18 a 35 anos), uma vez que esse grupo possui uma alta demanda por energia funcional (nesse caso a busca por foco, concentração e resistência mental) acaba também por ser impactado pelo achismo de que o produto é voltado apenas para momentos de festa ou atividades radicais. Focar nesse segmento permite abrir portas para a ampliação do ecossistema sem prejudicar aquilo que já funciona. </w:t>
      </w:r>
    </w:p>
    <w:p w:rsidR="00000000" w:rsidDel="00000000" w:rsidP="00000000" w:rsidRDefault="00000000" w:rsidRPr="00000000" w14:paraId="0000008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posicionamento diferencia a marca de alternativas reais?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as alternativas do mercado atualmente são os cafés especiais (como o supercoffee), suplementos, bebidas de pré-treino e alguns energéticos de baixo custo. O diferencial da Red Bull é não apenas trazer resistência, é se posicionar como um “Combustível de Performance Intelectual e Criativa" a marca entrega conveniência, consistência de sabor, taurina e o selo de estilo de vida de quem busca superar seus próprios limites. </w:t>
      </w:r>
    </w:p>
    <w:p w:rsidR="00000000" w:rsidDel="00000000" w:rsidP="00000000" w:rsidRDefault="00000000" w:rsidRPr="00000000" w14:paraId="0000008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mensagem central é simples e memorável?</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mensagem central é "Asas para as suas conquistas diárias." o que é uma evolução do clássico slogan "Red Bull te dá asas" já muito conhecido. A mensagem ressignifica o conceito de "voar" para além de saltar de um avião ou pilotar um carro de F1, "voar" passa a significar também fechar um projeto antes do prazo, gabaritar uma prova ou manter o foco em uma jornada extensa de trabalho. </w:t>
      </w:r>
    </w:p>
    <w:p w:rsidR="00000000" w:rsidDel="00000000" w:rsidP="00000000" w:rsidRDefault="00000000" w:rsidRPr="00000000" w14:paraId="0000008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 canais foram escolhidos por função na jornada?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os canais foram alinhados diretamente a cada etapa da jornada do consumidor já definidas, desde a descoberta através dos conteúdos das redes sociais mostrando rotinas reais de produtividade e bastidores de criadores e profissionais, até a fidelização do cliente onde se pode obter ações em aplicativos de entrega (iFood/Rappi) com combos voltados para o "Momento de Foco/Estudo” por exemplo. </w:t>
      </w:r>
    </w:p>
    <w:p>
      <w:pPr>
        <w:keepNext w:val="1"/>
        <w:pageBreakBefore w:val="1"/>
        <w:spacing w:before="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COMPLEMENTOS ESTRATÉGICOS DAS PARTES 1 E 2</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Nesta parte, completamos os pontos da estrutura final do plano que ainda não estavam explícitos nas Partes 1 e 2. Cada complemento parte do que já tínhamos definido: o problema, a tensão, o público prioritário, o objetivo, o posicionamento, a mensagem central e a jornada. Os complementos A a E detalham itens que já existiam, enquanto a seção 8 (</w:t>
      </w:r>
      <w:r>
        <w:rPr>
          <w:rFonts w:ascii="Times New Roman" w:cs="Times New Roman" w:eastAsia="Times New Roman" w:hAnsi="Times New Roman"/>
          <w:i w:val="1"/>
          <w:iCs w:val="1"/>
          <w:sz w:val="24"/>
          <w:szCs w:val="24"/>
        </w:rPr>
        <w:t xml:space="preserve">big idea</w:t>
      </w:r>
      <w:r>
        <w:rPr>
          <w:rFonts w:ascii="Times New Roman" w:cs="Times New Roman" w:eastAsia="Times New Roman" w:hAnsi="Times New Roman"/>
          <w:sz w:val="24"/>
          <w:szCs w:val="24"/>
        </w:rPr>
        <w:t xml:space="preserve">) é um item novo da estrutura final. O Quadro 1 mostra onde cada um dos 14 itens da estrutura final se encontra neste documento.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 – </w:t>
      </w:r>
      <w:r>
        <w:rPr>
          <w:rFonts w:ascii="Times New Roman" w:cs="Times New Roman" w:eastAsia="Times New Roman" w:hAnsi="Times New Roman"/>
          <w:sz w:val="24"/>
          <w:szCs w:val="24"/>
        </w:rPr>
        <w:t xml:space="preserve">Localização dos itens da estrutura final no documento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5729"/>
      </w:tblGrid>
      <w:tr>
        <w:trPr>
          <w:cantSplit w:val="1"/>
          <w:tblHeader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Item da Estrutura Final</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Localização no Documento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Contextualização do caso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Seções 1 e 2 (organização, produto, serviço e mercado)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Diagnóstico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“2. Evidências e Hipóteses”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Problema ou oportunidade</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3 (Problema de Comunicação); complemento B (problema de negócio e problema de comunicação)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Público prioritário e insight</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4; resposta “O público prioritário é específico e justificável?”; complemento A (insight e persona)</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Jornada e pontos de contato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5 (tabela de jornada); complemento E (matriz jornada–canais)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 Objetivo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 “O objetivo responde ao problema de comunicação?”; complemento B (objetivo na fórmula vista em aula)</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 Posicionamento e mensagem</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Respostas sobre posicionamento e mensagem central; complementos C e D</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w:t>
            </w:r>
            <w:r>
              <w:rPr>
                <w:rFonts w:ascii="Times New Roman" w:cs="Times New Roman" w:eastAsia="Times New Roman" w:hAnsi="Times New Roman"/>
                <w:b w:val="1"/>
                <w:bCs w:val="1"/>
                <w:i w:val="1"/>
                <w:iCs w:val="1"/>
                <w:sz w:val="24"/>
                <w:szCs w:val="24"/>
              </w:rPr>
              <w:t xml:space="preserve">Big idea</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8, ao final dos complementos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 “Os canais foram escolhidos por função na jornada?”; complemento E; seção 9</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10</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11</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12</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13</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14 e fechamento do plano (</w:t>
            </w:r>
            <w:r>
              <w:rPr>
                <w:rFonts w:ascii="Times New Roman" w:cs="Times New Roman" w:eastAsia="Times New Roman" w:hAnsi="Times New Roman"/>
                <w:i w:val="1"/>
                <w:iCs w:val="1"/>
                <w:sz w:val="24"/>
                <w:szCs w:val="24"/>
              </w:rPr>
              <w:t xml:space="preserve">checklist</w:t>
            </w:r>
            <w:r>
              <w:rPr>
                <w:rFonts w:ascii="Times New Roman" w:cs="Times New Roman" w:eastAsia="Times New Roman" w:hAnsi="Times New Roman"/>
                <w:sz w:val="24"/>
                <w:szCs w:val="24"/>
              </w:rPr>
              <w:t xml:space="preserve"> e rastreabilidade)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 Insight do Público (Complemento ao Item 4)</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tensão que registramos na seção 3 é que o foco histórico em esportes radicais afasta os consumidores funcionais, que buscam foco e bem-estar sem a estética agitada associada à marca.</w:t>
      </w:r>
    </w:p>
    <w:p>
      <w:pPr>
        <w:keepNext w:val="1"/>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Insight (Verdade sobre o Público):</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“Meu dia também tem momentos decisivos: a prova, a entrega, a reunião que define o projeto. Mas eu não me vejo como alguém radical. Quero energia para dar conta do que importa, não adrenalina.”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nossa leitura, para esse público, o alto rendimento faz parte do cotidiano e acontece em silêncio. A marca costuma mostrar a conquista espetacular, como o salto ou a corrida, enquanto o público vive conquistas que ninguém vê, como o capítulo concluído, o código que roda ou o prazo cumprido. Essa distância explica a percepção, registrada na Parte 2, de que o produto é voltado para festas ou atividades radicais. Por isso, o caminho da comunicação é dar visibilidade e valor às conquistas diárias.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Alguns dados do contexto brasileiro sustentam essa escolha. No 4º trimestre de 2022, 9,5 milhões de pessoas trabalhavam de forma remota no Brasil (IBGE apud PODER360, 2023). Em 2024, o ensino superior somou 10,2 milhões de matrículas e, pela primeira vez, a maioria delas (50,75%) estava em cursos a distância (INEP apud AGÊNCIA BRASIL, 2025). Esses números indicam que boa parte do público prioritário estuda ou trabalha em casa, o que aumenta o peso dos canais digitais e dos aplicativos de entrega.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enquanto, esse insight é uma formulação nossa, feita a partir da tensão descrita na seção 3. Ele será testado na pesquisa de linha de base (seção 13), antes do lançamento da campanha.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Persona de Referência:</w:t>
      </w:r>
      <w:r>
        <w:rPr>
          <w:rFonts w:ascii="Times New Roman" w:cs="Times New Roman" w:eastAsia="Times New Roman" w:hAnsi="Times New Roman"/>
          <w:sz w:val="24"/>
          <w:szCs w:val="24"/>
        </w:rPr>
        <w:t xml:space="preserve"> para orientar as peças, resumimos o público prioritário em uma persona construída a partir dos dados acima, da tensão da seção 3 e da jornada da seção 5. É uma pessoa de 18 a 35 anos que faz graduação, muitas vezes a distância, ou trabalha de forma remota, e por isso passa boa parte da semana estudando ou trabalhando em casa. A rotina tem picos de demanda, como provas, entregas e fechamentos de projeto. Na hora de buscar energia, compara a lata com o café e com energéticos mais baratos, no PDV ou no aplicativo de entrega. Não se vê como alguém radical, mas quer energia para dar conta do que importa. Assim como o insight, essa persona será conferida na pesquisa de linha de base.</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 Objetivo de Comunicação na Fórmula Vista em Aula (Complemento ao Item 6)</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Antes de reescrever o objetivo, separamos o problema de negócio do problema de comunicação, como vimos em aula (SOUZA, 2026b). O problema de negócio é a perda de espaço no mercado: a Red Bull caiu para a terceira posição em volume no canal moderno brasileiro, atrás de Monster e Baly (NIELSENIQ apud GIRONEWS, 2025). Já o problema de comunicação, descrito na seção 3, é de percepção: o público funcional não vê a marca como energia para foco, estudo e trabalho. Por isso, o objetivo abaixo não é uma meta de vendas disfarçada, mas uma mudança de percepção que, depois, deve aparecer no comportamento.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Reescrevemos o objetivo da Parte 2 seguindo a fórmula vista em aula, que é [verbo] + [público] + [mudança comunicacional] + [horizonte] (SOUZA, 2026b), para deixá-lo mensurável sem mudar o sentido original.</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 – </w:t>
      </w:r>
      <w:r>
        <w:rPr>
          <w:rFonts w:ascii="Times New Roman" w:cs="Times New Roman" w:eastAsia="Times New Roman" w:hAnsi="Times New Roman"/>
          <w:sz w:val="24"/>
          <w:szCs w:val="24"/>
        </w:rPr>
        <w:t xml:space="preserve">Objetivo de comunicação na fórmula vista em aula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Redação Proposta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Verbo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trabalhadores remotos e profissionais do conhecimento de 18 a 35 anos em rotinas intensas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Mudança comunicacional</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Passar de “energia para esportes extremos” para “energia e clareza mental para o alto rendimento diário”, elevando a consideração de compra para momentos de estudo e trabalho,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Horizonte</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Três meses (duração da campanha)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Redação completa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entre universitários, trabalhadores remotos e profissionais do conhecimento de 18 a 35 anos, a associação da Red Bull a ‘energia e clareza mental para o alto rendimento diário’, e não apenas a esportes extremos, elevando a consideração de compra para momentos de estudo e trabalho nos próximos três meses,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será medido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Indicadores 3 (associação) e 4 (consideração) do painel da seção 13, com linha de base e meta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 Declaração de Posicionamento (Complemento ao Item 7)</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“Para universitários, trabalhadores remotos e profissionais do conhecimento de 18 a 35 anos em rotinas intensas, a Red Bull é o combustível de performance intelectual e criativa que entrega energia para os momentos de foco que constroem as conquistas do dia, porque oferece uma fórmula padronizada e pronta para consumo (80 mg de cafeína por lata de 250 ml, taurina e vitaminas do complexo B, com versões sem açúcar), está disponível onde a rotina acontece e é associada há décadas à superação de limites.”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apontamos na Parte 2, as alternativas reais à Red Bull são os cafés especiais, os suplementos, os pré-treinos e os energéticos de baixo custo. A diferença que defendemos em relação a elas é a conveniência e a consistência da lata, que está sempre igual, gelada e pronta, somadas ao significado da marca, ligado a quem supera os próprios limites. Vale lembrar que a declaração de posicionamento é um texto de uso interno, que orienta a equipe, e não uma mensagem para o consumidor (SOUZA, 2026b).</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 Provas de Apoio e Critério de Sucesso (Complemento ao Item 7)</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organizar a mensagem, usamos a hierarquia de mensagens, que reúne uma ideia central e três provas que a sustentam (SOUZA, 2026b).</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3 – </w:t>
      </w:r>
      <w:r>
        <w:rPr>
          <w:rFonts w:ascii="Times New Roman" w:cs="Times New Roman" w:eastAsia="Times New Roman" w:hAnsi="Times New Roman"/>
          <w:sz w:val="24"/>
          <w:szCs w:val="24"/>
        </w:rPr>
        <w:t xml:space="preserve">Hierarquia de mensagens e provas de apoio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4729"/>
        <w:gridCol w:w="26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Nível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Onde Aparece</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central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Assinatura de todas as peças e ações</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1: atributo</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Fórmula padronizada: 80 mg de cafeína por lata de 250 ml, quantidade próxima à de uma xícara de café coado (RED BULL, [20--]), com taurina, vitaminas do complexo B e versões sem açúcar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(A2), PDV (A5) e combo nos aplicativos (A6)</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2: benefício</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pronta, gelada e portátil, na medida de uma lata, para o momento de foco (prova, entrega, reunião), sem preparo e com sabor constante</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Vídeos (A1), ativação (A4) e PDV (A5)</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3: credencial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Escala e consistência globais: 13,969 bilhões de latas vendidas em 2025, em 178 países (RED BULL, [2026]). Atuação já existente com jovens inovadores fora do esporte, como o Red Bull Basement, competição de inovação com seletiva no Brasil para maiores de 18 anos (CANALTECH, [2024?])</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 social e imprensa (A3) e ativação em campus (A4)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dados das fontes citadas.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Critério de Sucesso da Estratégia:</w:t>
      </w:r>
      <w:r>
        <w:rPr>
          <w:rFonts w:ascii="Times New Roman" w:cs="Times New Roman" w:eastAsia="Times New Roman" w:hAnsi="Times New Roman"/>
          <w:sz w:val="24"/>
          <w:szCs w:val="24"/>
        </w:rPr>
        <w:t xml:space="preserve"> consideramos que a estratégia terá dado certo se, ao fim dos três meses, três condições forem atendidas. Primeiro, o público prioritário exposto à campanha deve associar a Red Bull a “foco para estudar e trabalhar” mais do que o público não exposto, com diferença estatisticamente significativa. Segundo, essa mudança deve aparecer também no comportamento, com mais consideração e mais compras nas ocasiões de foco. Terceiro, a associação com “superar limites” não pode cair, o que mostra que a essência da marca foi preservada. As metas numéricas estão na seção 13.</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 Matriz Jornada–Canais (Complemento aos Itens 5 e 9)</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Montamos a matriz a partir das etapas da tabela de jornada (seção 5). Para cada etapa, indicamos a barreira do público prioritário, a tarefa da comunicação e os canais escolhidos de acordo com a função que cumprem. Os pontos de contato atuais (esportes radicais, Fórmula 1 e eSports) continuam e preservam a essência da marca, e a campanha acrescenta a eles a narrativa das conquistas diárias, muitas vezes nas mesmas plataformas.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4 – </w:t>
      </w:r>
      <w:r>
        <w:rPr>
          <w:rFonts w:ascii="Times New Roman" w:cs="Times New Roman" w:eastAsia="Times New Roman" w:hAnsi="Times New Roman"/>
          <w:sz w:val="24"/>
          <w:szCs w:val="24"/>
        </w:rPr>
        <w:t xml:space="preserve">Matriz jornada–canais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0"/>
        <w:gridCol w:w="2150"/>
        <w:gridCol w:w="2350"/>
        <w:gridCol w:w="2929"/>
      </w:tblGrid>
      <w:tr>
        <w:trPr>
          <w:cantSplit w:val="1"/>
          <w:tblHeader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Barreira</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Tarefa da Comunicação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Canais (Função)</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Descoberta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não é para mim: é de esporte radical e festa.”</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Chamar atenção e ressignificar o “voar” com conquistas diárias de pessoas parecidas com o público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Vídeos curtos de criadores no TikTok, Reels e Shorts, com mídia paga segmentada; versões longas no YouTube (atrair)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Consideração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Dúvida sobre quando e como usar no estudo e no trabalho; comparação com café e com opções mais baratas</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o uso no momento de foco, mostrar composição e consumo responsável, dar prova social</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carrosséis e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(explicar); depoimentos, UGC (conteúdo feito pelos usuários) e imprensa (provar); geladeira e comunicação funcional no PDV, já previstas na Parte 2</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Compra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marca esquecida na hora de escolher</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Estar no lugar e no momento certos, com um motivo claro para levar agora</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PDV próximo a universidades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Combo Momento de Foco no iFood e no Rappi; amostragem com cupom (converter)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Consumo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Consumo sem contexto (“só uma lata gelada”) e risco de associação a excesso</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Ligar o consumo à conquista e orientar o uso responsável</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Ativação Pausa com Asas; cartão e QR do combo com rotina de foco;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Modo Foco (provar e explicar)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Fidelização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Uso pontual; a marca só é lembrada no próximo aperto</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o vínculo e reativar nos picos de demanda (provas, fechamentos de projeto)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Diário de Bordo (WhatsApp e e</w:t>
              <w:noBreakHyphen/>
              <w:t xml:space="preserve">mail com consentimento), cupom de recompra no aplicativo, conteúdo recorrente nas redes (relacionar e reativar)</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w:t>
      </w:r>
    </w:p>
    <w:p>
      <w:pPr>
        <w:keepNext w:val="1"/>
        <w:pageBreakBefore w:val="1"/>
        <w:spacing w:before="36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Big Idea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Big Idea: “Todo dia tem um voo.”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ideia é que a Red Bull passe a narrar as conquistas cotidianas do público, como a prova, a entrega e o projeto, com a mesma linguagem épica que usa para os voos de seus atletas. Dessa forma, a conquista que ninguém vê ganha câmera lenta, cronômetro, telemetria e narração de transmissão esportiva. A lata aparece no momento de foco que vem antes do “pouso”, ou seja, antes da conquista concluída.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5 – </w:t>
      </w:r>
      <w:r>
        <w:rPr>
          <w:rFonts w:ascii="Times New Roman" w:cs="Times New Roman" w:eastAsia="Times New Roman" w:hAnsi="Times New Roman"/>
          <w:sz w:val="24"/>
          <w:szCs w:val="24"/>
        </w:rPr>
        <w:t xml:space="preserve">Da estratégia à </w:t>
      </w:r>
      <w:r>
        <w:rPr>
          <w:rFonts w:ascii="Times New Roman" w:cs="Times New Roman" w:eastAsia="Times New Roman" w:hAnsi="Times New Roman"/>
          <w:i w:val="1"/>
          <w:iCs w:val="1"/>
          <w:sz w:val="24"/>
          <w:szCs w:val="24"/>
        </w:rPr>
        <w:t xml:space="preserve">big idea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Diagnóstico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associação exclusiva a esportes radicais e adrenalina extrema afasta o público que busca energia para foco, estudo e trabalho (seção 3 e Parte 2).</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Insight</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“Meu dia tem momentos decisivos, mas eu não me vejo como radical; minhas conquistas ninguém vê.”</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Promessa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para o momento de foco que constrói a conquista do dia.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central</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i w:val="1"/>
                <w:iCs w:val="1"/>
                <w:sz w:val="24"/>
                <w:szCs w:val="24"/>
              </w:rPr>
              <w:t xml:space="preserve">Big idea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dar às conquistas diárias a linguagem dos grandes voos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não é só um slogan</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Define uma linha criativa replicável (a linguagem de transmissão esportiva aplicada ao cotidiano) que dá origem a todas as ações. Mantém a estética de performance da marca, mas muda o contexto, do radical para o diário.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Desdobramentos</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Transmissões do Dia a Dia (vídeos, A1); Hub Modo Foco (A2); Conquistas Reais (prova social, A3); Pausa com Asas (ativação, A4); Seu Próximo Voo (PDV, A5); Combo Momento de Foco (aplicativos, A6); Diário de Bordo (comunidade, A7)</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PARTE 3 – EXECUÇÃO E MENSURAÇÃO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3, transformamos o que foi definido nas Partes 1 e 2 em ações coordenadas, com sequência, responsáveis, recursos e indicadores. As premissas abaixo valem para todas as seções seguintes e servem para evitar que dados indisponíveis sejam apresentados como reais.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6 – </w:t>
      </w:r>
      <w:r>
        <w:rPr>
          <w:rFonts w:ascii="Times New Roman" w:cs="Times New Roman" w:eastAsia="Times New Roman" w:hAnsi="Times New Roman"/>
          <w:sz w:val="24"/>
          <w:szCs w:val="24"/>
        </w:rPr>
        <w:t xml:space="preserve">Premissas gerais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729"/>
      </w:tblGrid>
      <w:tr>
        <w:trPr>
          <w:cantSplit w:val="1"/>
          <w:tblHeader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Premissa</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Definição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Mercado</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Brasil.</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Horizonte</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 semanas (três meses). O ideal é que a onda Lançar coincida com o início de um semestre letivo e a onda Converter, com o período de provas e entregas. As datas variam por instituição.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Cobertura</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Ações digitais em todo o país. Ações presenciais (campus,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PDV) em cinco cidades</w:t>
              <w:noBreakHyphen/>
              <w:t xml:space="preserve">piloto: São Paulo, Rio de Janeiro, Belo Horizonte, Brasília e Cuiabá. As quatro primeiras concentram universitários e profissionais do conhecimento. Cuiabá, capital de porte médio, testa se o resultado se repete fora dos grandes centros (premissa do grupo).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Produtos em foco</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Energy Drink e suas versões sem açúcar, que respondem à busca por bem</w:t>
              <w:noBreakHyphen/>
              <w:t xml:space="preserve">estar citada na tensão (seção 3).</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Responsáveis</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Cargos ilustrativos de uma estrutura de marketing típica (Gerência de Marca, Trade Marketing, Digital / CRM, E</w:t>
              <w:noBreakHyphen/>
              <w:t xml:space="preserve">commerce / Key Account, Comunicação / RP, Inteligência de Mercado), com apoio de agências e da Red Bull Media House. Não representam o organograma real da empresa.</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Valores e linhas de base</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Valores fictícios para fins acadêmicos ou estimativas do grupo, sempre identificados como tais. Dados reais aparecem apenas com fonte.</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Consumo responsável</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apenas para maiores de 18 anos, sem incentivo a consumo excessivo, à mistura com álcool ou a passar a noite sem dormir. Todas as peças passam por revisão jurídica e regulatória (normas da ANVISA e do CONAR) antes da veiculação.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36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2, escolhemos os canais de acordo com a função que cada um cumpre na jornada. Nesta seção, essa escolha é organizada como um ecossistema, em que cada ponto de contato tem um papel (atrair, explicar, provar, converter, relacionar ou reativar), um tipo de mídia (paga, própria, conquistada ou experiência) e uma justificativa ligada ao público e à etapa da jornada. Todos os canais repetem a mesma mensagem central e a mesma </w:t>
      </w:r>
      <w:r>
        <w:rPr>
          <w:rFonts w:ascii="Times New Roman" w:cs="Times New Roman" w:eastAsia="Times New Roman" w:hAnsi="Times New Roman"/>
          <w:i w:val="1"/>
          <w:iCs w:val="1"/>
          <w:sz w:val="24"/>
          <w:szCs w:val="24"/>
        </w:rPr>
        <w:t xml:space="preserve">big idea</w:t>
      </w:r>
      <w:r>
        <w:rPr>
          <w:rFonts w:ascii="Times New Roman" w:cs="Times New Roman" w:eastAsia="Times New Roman" w:hAnsi="Times New Roman"/>
          <w:sz w:val="24"/>
          <w:szCs w:val="24"/>
        </w:rPr>
        <w:t xml:space="preserve">, o que garante a integração da comunicação (Figura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Figura 1 – </w:t>
      </w:r>
      <w:r>
        <w:rPr>
          <w:rFonts w:ascii="Times New Roman" w:cs="Times New Roman" w:eastAsia="Times New Roman" w:hAnsi="Times New Roman"/>
          <w:sz w:val="24"/>
          <w:szCs w:val="24"/>
        </w:rPr>
        <w:t xml:space="preserve">Ecossistema de pontos de contato em torno da mensagem central</w:t>
      </w:r>
    </w:p>
    <w:p>
      <w:pPr>
        <w:keepNext w:val="1"/>
        <w:spacing w:before="60" w:after="60" w:line="240" w:lineRule="auto"/>
        <w:jc w:val="center"/>
      </w:pPr>
      <w:r>
        <w:drawing>
          <wp:inline distT="0" distB="0" distL="0" distR="0">
            <wp:extent cx="5724000" cy="3410550"/>
            <wp:effectExtent l="0" t="0" r="0" b="0"/>
            <wp:docPr id="2" name="figura1.png" descr="Ecossistema de pontos de contato: Atrair, Explicar, Provar, Converter, Relacionar e Reativar em torno da mensagem central"/>
            <wp:cNvGraphicFramePr>
              <a:graphicFrameLocks noChangeAspect="1"/>
            </wp:cNvGraphicFramePr>
            <a:graphic>
              <a:graphicData uri="http://schemas.openxmlformats.org/drawingml/2006/picture">
                <pic:pic>
                  <pic:nvPicPr>
                    <pic:cNvPr id="0" name="figura1.png"/>
                    <pic:cNvPicPr/>
                  </pic:nvPicPr>
                  <pic:blipFill>
                    <a:blip r:embed="rId100"/>
                    <a:stretch>
                      <a:fillRect/>
                    </a:stretch>
                  </pic:blipFill>
                  <pic:spPr>
                    <a:xfrm>
                      <a:off x="0" y="0"/>
                      <a:ext cx="5724000" cy="3410550"/>
                    </a:xfrm>
                    <a:prstGeom prst="rect">
                      <a:avLst/>
                    </a:prstGeom>
                  </pic:spPr>
                </pic:pic>
              </a:graphicData>
            </a:graphic>
          </wp:inline>
        </w:drawing>
      </w:r>
    </w:p>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7 – </w:t>
      </w:r>
      <w:r>
        <w:rPr>
          <w:rFonts w:ascii="Times New Roman" w:cs="Times New Roman" w:eastAsia="Times New Roman" w:hAnsi="Times New Roman"/>
          <w:sz w:val="24"/>
          <w:szCs w:val="24"/>
        </w:rPr>
        <w:t xml:space="preserve">Papel de cada canal no ecossistema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400"/>
        <w:gridCol w:w="1250"/>
        <w:gridCol w:w="1560"/>
        <w:gridCol w:w="3019"/>
      </w:tblGrid>
      <w:tr>
        <w:trPr>
          <w:cantSplit w:val="1"/>
          <w:tblHeader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 ou Ponto de Contato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Tipo de Mídia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Função</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Justificativa do Canal</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Vídeos curtos de criadores (TikTok, Instagram Reels, YouTube Shorts)</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 e conquistada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É onde o público de 18 a 35 anos acompanha rotinas de estudo e produtividade. O formato curto mostra uma conquista diária em 30 a 60 segundos e permite segmentar por interesse.</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YouTube e Red Bull Media House (versões longas)</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Usa a competência audiovisual que a marca já tem e aprofunda as histórias.</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Hub Modo Foco (página no site e </w:t>
            </w:r>
            <w:r>
              <w:rPr>
                <w:rFonts w:ascii="Times New Roman" w:cs="Times New Roman" w:eastAsia="Times New Roman" w:hAnsi="Times New Roman"/>
                <w:b w:val="1"/>
                <w:bCs w:val="1"/>
                <w:i w:val="1"/>
                <w:iCs w:val="1"/>
                <w:sz w:val="24"/>
                <w:szCs w:val="24"/>
              </w:rPr>
              <w:t xml:space="preserve">playlist</w:t>
            </w:r>
            <w:r>
              <w:rPr>
                <w:rFonts w:ascii="Times New Roman" w:cs="Times New Roman" w:eastAsia="Times New Roman" w:hAnsi="Times New Roman"/>
                <w:b w:val="1"/>
                <w:bCs w:val="1"/>
                <w:sz w:val="24"/>
                <w:szCs w:val="24"/>
              </w:rPr>
              <w:t xml:space="preserve"> Modo Foco)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Responde a dúvidas de uso, composição e consumo responsável, concentra o tráfego e permite medir cliques para compra.</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i w:val="1"/>
                <w:iCs w:val="1"/>
                <w:sz w:val="24"/>
                <w:szCs w:val="24"/>
              </w:rPr>
              <w:t xml:space="preserve">Remarketing</w:t>
            </w:r>
            <w:r>
              <w:rPr>
                <w:rFonts w:ascii="Times New Roman" w:cs="Times New Roman" w:eastAsia="Times New Roman" w:hAnsi="Times New Roman"/>
                <w:b w:val="1"/>
                <w:bCs w:val="1"/>
                <w:sz w:val="24"/>
                <w:szCs w:val="24"/>
              </w:rPr>
              <w:t xml:space="preserve"> (Meta, TikTok e Google)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e provar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Fala de novo com quem já assistiu aos vídeos e evita gastar verba de explicação com público frio.</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Depoimentos, UGC e imprensa</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Conquistada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parecidas com o público reduzem o “isso não é para mim”, e a imprensa dá credibilidade de terceiros.</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Ativação Pausa com Asas (campus, bibliotecas e </w:t>
            </w:r>
            <w:r>
              <w:rPr>
                <w:rFonts w:ascii="Times New Roman" w:cs="Times New Roman" w:eastAsia="Times New Roman" w:hAnsi="Times New Roman"/>
                <w:b w:val="1"/>
                <w:bCs w:val="1"/>
                <w:i w:val="1"/>
                <w:iCs w:val="1"/>
                <w:sz w:val="24"/>
                <w:szCs w:val="24"/>
              </w:rPr>
              <w:t xml:space="preserve">coworkings</w:t>
            </w:r>
            <w:r>
              <w:rPr>
                <w:rFonts w:ascii="Times New Roman" w:cs="Times New Roman" w:eastAsia="Times New Roman" w:hAnsi="Times New Roman"/>
                <w:b w:val="1"/>
                <w:bCs w:val="1"/>
                <w:sz w:val="24"/>
                <w:szCs w:val="24"/>
              </w:rPr>
              <w:t xml:space="preserv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Experiência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 e converter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 compra e consumo</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 experimentação no momento real de foco e reduz o risco percebido por quem compara com café.</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PDV (geladeira e comunicação funcional)</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Experiência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decisão final acontece ali. Diante do café e de energéticos mais baratos, a comunicação precisa lembrar a ocasião de foco.</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iFood e Rappi (combo, vitrine e cupom)</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e reativar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 e fidelização</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Atende quem estuda ou trabalha em casa, inclusive alunos de EaD, e permite medir pedidos e recompra.</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Diário de Bordo (canal de WhatsApp e e</w:t>
              <w:noBreakHyphen/>
              <w:t xml:space="preserve">mail com consentimento)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Relacionar e reativar</w:t>
            </w:r>
          </w:p>
        </w:tc>
        <w:tc>
          <w:tcPr>
            <w:tcW w:w="156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Fidelização</w:t>
            </w:r>
          </w:p>
        </w:tc>
        <w:tc>
          <w:tcPr>
            <w:tcW w:w="301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Mantém a marca presente nos picos de demanda (provas, fechamentos) com custo baixo por contato.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sequência de contato que planejamos funciona assim. Primeiro, a pessoa assiste a uma “transmissão” de conquista diária (atrair). Depois, é impactada pelo Hub e pelas provas (explicar e provar). Em seguida, experimenta o produto numa ativação ou encontra a geladeira e o combo (converter). Por fim, entra no Diário de Bordo e recebe lembretes antes das semanas de provas (relacionar e reativar). Dessa forma, os canais não disputam o mesmo papel, já que cada um encaminha o público para o próximo.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O Que Ficou de Fora e Por Quê:</w:t>
      </w:r>
      <w:r>
        <w:rPr>
          <w:rFonts w:ascii="Times New Roman" w:cs="Times New Roman" w:eastAsia="Times New Roman" w:hAnsi="Times New Roman"/>
          <w:sz w:val="24"/>
          <w:szCs w:val="24"/>
        </w:rPr>
        <w:t xml:space="preserve"> optamos por não usar TV aberta e mídia exterior nacional, pois têm custo alto, segmentação fraca para um público específico e são difíceis de medir em um piloto de três meses.</w:t>
      </w:r>
    </w:p>
    <w:p>
      <w:pPr>
        <w:keepNext w:val="1"/>
        <w:spacing w:before="36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montar o plano de ações, seguimos a ordem recomendada em aula, definindo primeiro os pilares de conteúdo, depois a direção criativa e só então os formatos (SOUZA, 2026c). Dessa forma, chegamos a sete ações (A1 a A7), e cada uma delas tem função, promessa, comportamento esperado, sequência de contato, critério de sucesso e indicador, como mostram o Quadro 10 e o Quadro 11.</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10.1 Pilares de Conteúdo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8 – </w:t>
      </w:r>
      <w:r>
        <w:rPr>
          <w:rFonts w:ascii="Times New Roman" w:cs="Times New Roman" w:eastAsia="Times New Roman" w:hAnsi="Times New Roman"/>
          <w:sz w:val="24"/>
          <w:szCs w:val="24"/>
        </w:rPr>
        <w:t xml:space="preserve">Pilares de conteúdo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2600"/>
        <w:gridCol w:w="3729"/>
        <w:gridCol w:w="14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Pilar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 Respondida</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noBreakHyphen/>
              <w:t xml:space="preserve">Chave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Ações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Educar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que o público precisa entender para avançar na decisão?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Quando usar (momento de foco), composição, comparação com o café, consumo responsável e rotinas de foco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A7</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evidências reduzem dúvida e risco?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reais, credenciais da marca e experimentação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A3, A4</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Inspirar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narrativa conecta com a identidade do público?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Conquistas diárias narradas como voos (“Todo dia tem um voo”)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Converter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convite claro leva ao próximo passo?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Geladeira na rota do campus e do </w:t>
            </w:r>
            <w:r>
              <w:rPr>
                <w:rFonts w:ascii="Times New Roman" w:cs="Times New Roman" w:eastAsia="Times New Roman" w:hAnsi="Times New Roman"/>
                <w:i w:val="1"/>
                <w:iCs w:val="1"/>
                <w:sz w:val="24"/>
                <w:szCs w:val="24"/>
              </w:rPr>
              <w:t xml:space="preserve">coworking</w:t>
            </w:r>
            <w:r>
              <w:rPr>
                <w:rFonts w:ascii="Times New Roman" w:cs="Times New Roman" w:eastAsia="Times New Roman" w:hAnsi="Times New Roman"/>
                <w:sz w:val="24"/>
                <w:szCs w:val="24"/>
              </w:rPr>
              <w:t xml:space="preserve">, combo e cupom de recompra</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A5, A6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10.2 Direção Criativa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9 – </w:t>
      </w:r>
      <w:r>
        <w:rPr>
          <w:rFonts w:ascii="Times New Roman" w:cs="Times New Roman" w:eastAsia="Times New Roman" w:hAnsi="Times New Roman"/>
          <w:sz w:val="24"/>
          <w:szCs w:val="24"/>
        </w:rPr>
        <w:t xml:space="preserve">Direção criativa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
        <w:gridCol w:w="6829"/>
      </w:tblGrid>
      <w:tr>
        <w:trPr>
          <w:cantSplit w:val="1"/>
          <w:tblHeader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dizemos? (mensagem)</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 A promessa é energia para o momento de foco que constrói a conquista do dia. Cada ação tem uma mensagem de apoio derivada da mensagem central (Quadro 10).</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dizemos? (tom de voz)</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Inspirador e próximo, com humor leve e o vocabulário real de quem estuda e trabalha (entrega, prazo, TCC, </w:t>
            </w:r>
            <w:r>
              <w:rPr>
                <w:rFonts w:ascii="Times New Roman" w:cs="Times New Roman" w:eastAsia="Times New Roman" w:hAnsi="Times New Roman"/>
                <w:i w:val="1"/>
                <w:iCs w:val="1"/>
                <w:sz w:val="24"/>
                <w:szCs w:val="24"/>
              </w:rPr>
              <w:t xml:space="preserve">sprint</w:t>
            </w:r>
            <w:r>
              <w:rPr>
                <w:rFonts w:ascii="Times New Roman" w:cs="Times New Roman" w:eastAsia="Times New Roman" w:hAnsi="Times New Roman"/>
                <w:sz w:val="24"/>
                <w:szCs w:val="24"/>
              </w:rPr>
              <w:t xml:space="preserve">). Confiante sem exagero: fala da ocasião de uso e não promete efeito sobre o desempenho. Valoriza foco com pausa e não romantiza noites sem dormir.</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mostramos? (identidade visual)</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Mantém os elementos da marca (lata azul e prata, logotipo dos touros), o que garante reconhecimento e preserva a essência. Como recurso visual próprio, usa grafismos de transmissão esportiva (cronômetro, altitude, velocidade) sobre cenas reais de biblioteca, </w:t>
            </w:r>
            <w:r>
              <w:rPr>
                <w:rFonts w:ascii="Times New Roman" w:cs="Times New Roman" w:eastAsia="Times New Roman" w:hAnsi="Times New Roman"/>
                <w:i w:val="1"/>
                <w:iCs w:val="1"/>
                <w:sz w:val="24"/>
                <w:szCs w:val="24"/>
              </w:rPr>
              <w:t xml:space="preserve">home office</w:t>
            </w:r>
            <w:r>
              <w:rPr>
                <w:rFonts w:ascii="Times New Roman" w:cs="Times New Roman" w:eastAsia="Times New Roman" w:hAnsi="Times New Roman"/>
                <w:sz w:val="24"/>
                <w:szCs w:val="24"/>
              </w:rPr>
              <w:t xml:space="preserve"> e </w:t>
            </w:r>
            <w:r>
              <w:rPr>
                <w:rFonts w:ascii="Times New Roman" w:cs="Times New Roman" w:eastAsia="Times New Roman" w:hAnsi="Times New Roman"/>
                <w:i w:val="1"/>
                <w:iCs w:val="1"/>
                <w:sz w:val="24"/>
                <w:szCs w:val="24"/>
              </w:rPr>
              <w:t xml:space="preserve">coworking</w:t>
            </w:r>
            <w:r>
              <w:rPr>
                <w:rFonts w:ascii="Times New Roman" w:cs="Times New Roman" w:eastAsia="Times New Roman" w:hAnsi="Times New Roman"/>
                <w:sz w:val="24"/>
                <w:szCs w:val="24"/>
              </w:rPr>
              <w:t xml:space="preserve">, com pessoas diversas de 18 a 35 anos e luz natural.</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sustentamos? (provas)</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Provas do Quadro 3 (atributo, benefício e credencial), depoimentos reais com autorização de uso de imagem, composição informada em todas as peças de conversão e aviso de consumo responsável.</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0" w:line="240" w:lineRule="auto"/>
        <w:rPr>
          <w:sz w:val="2"/>
          <w:szCs w:val="2"/>
        </w:rPr>
        <w:sectPr>
          <w:headerReference w:type="default" r:id="rId101"/>
          <w:pgSz w:w="11909" w:h="16834" w:orient="portrait"/>
          <w:pgMar w:bottom="1440" w:top="1440" w:left="1440" w:right="1440" w:header="1134" w:footer="720"/>
        </w:sectPr>
      </w:pP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10.3 Matriz de Ações Integradas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10 – </w:t>
      </w:r>
      <w:r>
        <w:rPr>
          <w:rFonts w:ascii="Times New Roman" w:cs="Times New Roman" w:eastAsia="Times New Roman" w:hAnsi="Times New Roman"/>
          <w:sz w:val="24"/>
          <w:szCs w:val="24"/>
        </w:rPr>
        <w:t xml:space="preserve">Matriz de ações integradas</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4"/>
        <w:gridCol w:w="1205"/>
        <w:gridCol w:w="1684"/>
        <w:gridCol w:w="1565"/>
        <w:gridCol w:w="1320"/>
        <w:gridCol w:w="1880"/>
        <w:gridCol w:w="1531"/>
        <w:gridCol w:w="1551"/>
        <w:gridCol w:w="1684"/>
      </w:tblGrid>
      <w:tr>
        <w:trPr>
          <w:cantSplit w:val="1"/>
          <w:tblHeader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Função</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Objetivo</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Canal/Formato</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 da Jornada</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Responsável</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KPI</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 (Inspirar)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a associação da marca a foco, estudo e trabalho no público que hoje não a considera</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frio: universitários, trabalhadores remotos e profissionais do conhecimento de 18 a 35 anos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Asas para as suas conquistas diárias.”</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TikTok, Reels e Shorts: 12 vídeos de 30 a 60 s com 6 criadores (estudo, programação, design, trabalho remoto), narrados como transmissão esportiva; versão longa no YouTube; mídia paga segmentada</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 (apoio: Red Bull Media House e agência de conteúdo)</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Alcance qualificado; retenção de 75% do vídeo; aumento da associação (painel 1, 2 e 3)</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(Educar)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Tirar dúvidas de uso, composição e consumo responsável e levar à compra</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quem interagiu com A1 ou buscou o tema</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conquista de hoje tem método: foco, pausa e energia na medida.”</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Página no site da Red Bull Brasil (guias de rotina de foco, comparação com café, composição, perguntas frequentes, links para iFood, Rappi e PDV);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Modo Foco; carrosséis; </w:t>
            </w:r>
            <w:r>
              <w:rPr>
                <w:rFonts w:ascii="Times New Roman" w:cs="Times New Roman" w:eastAsia="Times New Roman" w:hAnsi="Times New Roman"/>
                <w:i w:val="1"/>
                <w:iCs w:val="1"/>
                <w:sz w:val="24"/>
                <w:szCs w:val="24"/>
              </w:rPr>
              <w:t xml:space="preserve">remarketing</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 (apoio: agência digital; validação do Regulatório)</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Visitas qualificadas; taxa de clique para compra (painel 4 e 5)</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Reduzir o “isso não é para mim” com pessoas reais e credibilidade de terceiros</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e quente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“Gente como você, voos como os seus.”</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Chamada #MeuVooDeHoje para conteúdo feito pelos usuários (com regulamento e curadoria); depoimentos em </w:t>
            </w:r>
            <w:r>
              <w:rPr>
                <w:rFonts w:ascii="Times New Roman" w:cs="Times New Roman" w:eastAsia="Times New Roman" w:hAnsi="Times New Roman"/>
                <w:i w:val="1"/>
                <w:iCs w:val="1"/>
                <w:sz w:val="24"/>
                <w:szCs w:val="24"/>
              </w:rPr>
              <w:t xml:space="preserve">stories</w:t>
            </w:r>
            <w:r>
              <w:rPr>
                <w:rFonts w:ascii="Times New Roman" w:cs="Times New Roman" w:eastAsia="Times New Roman" w:hAnsi="Times New Roman"/>
                <w:sz w:val="24"/>
                <w:szCs w:val="24"/>
              </w:rPr>
              <w:t xml:space="preserve">; pauta de imprensa com dados da pesquisa de linha de base; histórias de participantes brasileiros do Red Bull Basement</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 RP (apoio: agência de redes sociais e Gerência de Marca)</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por mil pessoas alcançadas; sentimento e </w:t>
            </w:r>
            <w:r>
              <w:rPr>
                <w:rFonts w:ascii="Times New Roman" w:cs="Times New Roman" w:eastAsia="Times New Roman" w:hAnsi="Times New Roman"/>
                <w:i w:val="1"/>
                <w:iCs w:val="1"/>
                <w:sz w:val="24"/>
                <w:szCs w:val="24"/>
              </w:rPr>
              <w:t xml:space="preserve">share of voice</w:t>
            </w:r>
            <w:r>
              <w:rPr>
                <w:rFonts w:ascii="Times New Roman" w:cs="Times New Roman" w:eastAsia="Times New Roman" w:hAnsi="Times New Roman"/>
                <w:sz w:val="24"/>
                <w:szCs w:val="24"/>
              </w:rPr>
              <w:t xml:space="preserve"> no tema foco e estudo (painel 3 e 4)</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 e converter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Gerar experimentação no momento real de foco e transformá</w:t>
              <w:noBreakHyphen/>
              <w:t xml:space="preserve">la em primeira compra</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maiores de 18 anos e usuários de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nas 5 cidades, em semanas de provas e entregas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pausa estratégica antes do próximo voo.”</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Estações de pausa em bibliotecas, áreas de convivência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parceiros: lata gelada com checagem de idade, tomadas, cartão com rotina de foco, QR para o Hub e cupom no aplicativo</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 compra e consumo</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 Field Marketing (apoio: agência de promoção e embaixadores universitários)</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Taxa de resgate do cupom; custo por experimentação (painel 5)</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Lembrar a ocasião de foco no momento da decisão e converter consideração em compra</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e passantes do público prioritário em lojas perto de universidades,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escritórios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próximo voo: a entrega de hoje.”</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Testeira e adesivo de geladeira, </w:t>
            </w:r>
            <w:r>
              <w:rPr>
                <w:rFonts w:ascii="Times New Roman" w:cs="Times New Roman" w:eastAsia="Times New Roman" w:hAnsi="Times New Roman"/>
                <w:i w:val="1"/>
                <w:iCs w:val="1"/>
                <w:sz w:val="24"/>
                <w:szCs w:val="24"/>
              </w:rPr>
              <w:t xml:space="preserve">wobbler</w:t>
            </w:r>
            <w:r>
              <w:rPr>
                <w:rFonts w:ascii="Times New Roman" w:cs="Times New Roman" w:eastAsia="Times New Roman" w:hAnsi="Times New Roman"/>
                <w:sz w:val="24"/>
                <w:szCs w:val="24"/>
              </w:rPr>
              <w:t xml:space="preserve">, </w:t>
            </w:r>
            <w:r>
              <w:rPr>
                <w:rFonts w:ascii="Times New Roman" w:cs="Times New Roman" w:eastAsia="Times New Roman" w:hAnsi="Times New Roman"/>
                <w:i w:val="1"/>
                <w:iCs w:val="1"/>
                <w:sz w:val="24"/>
                <w:szCs w:val="24"/>
              </w:rPr>
              <w:t xml:space="preserve">display</w:t>
            </w:r>
            <w:r>
              <w:rPr>
                <w:rFonts w:ascii="Times New Roman" w:cs="Times New Roman" w:eastAsia="Times New Roman" w:hAnsi="Times New Roman"/>
                <w:sz w:val="24"/>
                <w:szCs w:val="24"/>
              </w:rPr>
              <w:t xml:space="preserve"> de caixa, combo lata + </w:t>
            </w:r>
            <w:r>
              <w:rPr>
                <w:rFonts w:ascii="Times New Roman" w:cs="Times New Roman" w:eastAsia="Times New Roman" w:hAnsi="Times New Roman"/>
                <w:i w:val="1"/>
                <w:iCs w:val="1"/>
                <w:sz w:val="24"/>
                <w:szCs w:val="24"/>
              </w:rPr>
              <w:t xml:space="preserve">snack</w:t>
            </w:r>
            <w:r>
              <w:rPr>
                <w:rFonts w:ascii="Times New Roman" w:cs="Times New Roman" w:eastAsia="Times New Roman" w:hAnsi="Times New Roman"/>
                <w:sz w:val="24"/>
                <w:szCs w:val="24"/>
              </w:rPr>
              <w:t xml:space="preserve"> e QR para o Hub nas lojas participantes; lojas semelhantes sem material como grupo de controle</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Marketing (apoio: distribuidores e redes varejistas)</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nas lojas participantes em relação às lojas</w:t>
              <w:noBreakHyphen/>
              <w:t xml:space="preserve">controle (painel 5)</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e reativar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Facilitar a compra em casa, no horário de estudo ou trabalho, e estimular a recompra</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que estuda ou trabalha em casa (inclui EaD e trabalho remoto)</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“Dia de entrega? Seu combo de foco chega antes do prazo.”</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e Rappi: combo Red Bull + </w:t>
            </w:r>
            <w:r>
              <w:rPr>
                <w:rFonts w:ascii="Times New Roman" w:cs="Times New Roman" w:eastAsia="Times New Roman" w:hAnsi="Times New Roman"/>
                <w:i w:val="1"/>
                <w:iCs w:val="1"/>
                <w:sz w:val="24"/>
                <w:szCs w:val="24"/>
              </w:rPr>
              <w:t xml:space="preserve">snack</w:t>
            </w:r>
            <w:r>
              <w:rPr>
                <w:rFonts w:ascii="Times New Roman" w:cs="Times New Roman" w:eastAsia="Times New Roman" w:hAnsi="Times New Roman"/>
                <w:sz w:val="24"/>
                <w:szCs w:val="24"/>
              </w:rPr>
              <w:t xml:space="preserve">, vitrine patrocinada e banners, cupom de primeira compra (vindo de A4) e de recompra em 30 dias, notificações nas semanas de provas</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 e fidelização</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w:t>
              <w:noBreakHyphen/>
              <w:t xml:space="preserve">commerce / Key Account (apoio: parceiros e Digital)</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Pedidos do combo; recompra em 30 dias (painel 5 e 6)</w:t>
            </w:r>
          </w:p>
        </w:tc>
      </w:tr>
      <w:tr>
        <w:trPr>
          <w:cantSplit w:val="1"/>
        </w:trPr>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20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Relacionar e reativar (Educar)</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viva a nova associação após a compra e reativar o consumo nos picos de demanda</w:t>
            </w:r>
          </w:p>
        </w:tc>
        <w:tc>
          <w:tcPr>
            <w:tcW w:w="1565"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Clientes e interessados que deram consentimento (Hub, QR do PDV e da ativação)</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“Registre seus voos da semana. A gente te dá asas para o próximo.”</w:t>
            </w:r>
          </w:p>
        </w:tc>
        <w:tc>
          <w:tcPr>
            <w:tcW w:w="18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 de WhatsApp e e</w:t>
              <w:noBreakHyphen/>
              <w:t xml:space="preserve">mail: plano da semana (rotina de foco), lembrete antes das provas, cupom de recompra, desafio mensal com destaque nas redes</w:t>
            </w:r>
          </w:p>
        </w:tc>
        <w:tc>
          <w:tcPr>
            <w:tcW w:w="153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Fidelização</w:t>
            </w:r>
          </w:p>
        </w:tc>
        <w:tc>
          <w:tcPr>
            <w:tcW w:w="1551"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 (apoio: agência de CRM; Jurídico para a LGPD)</w:t>
            </w:r>
          </w:p>
        </w:tc>
        <w:tc>
          <w:tcPr>
            <w:tcW w:w="168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ativa; recompra de membros em relação a não membros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 2026c). “Painel” remete aos indicadores da seção 13.</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10.4 Justificativa de Cada Ação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11 – </w:t>
      </w:r>
      <w:r>
        <w:rPr>
          <w:rFonts w:ascii="Times New Roman" w:cs="Times New Roman" w:eastAsia="Times New Roman" w:hAnsi="Times New Roman"/>
          <w:sz w:val="24"/>
          <w:szCs w:val="24"/>
        </w:rPr>
        <w:t xml:space="preserve">Lógica de cada ação: justificativa, promessa, comportamento, sequência e sucesso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3050"/>
        <w:gridCol w:w="1900"/>
        <w:gridCol w:w="2200"/>
        <w:gridCol w:w="2500"/>
        <w:gridCol w:w="2754"/>
      </w:tblGrid>
      <w:tr>
        <w:trPr>
          <w:cantSplit w:val="1"/>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Justificativa na Estratégia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Promessa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Comportamento Esperado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Sequência de Contato</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Critério de Sucesso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problema é de percepção, pois a marca é associada só aos esportes radicais. Sem ressignificar o “voar”, as ações de conversão falariam com quem ainda acha que o produto não é para si.</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Suas conquistas diárias também são voos, e a Red Bull está nelas.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Assistir até o fim, salvar, compartilhar e visitar o Hub.</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Primeiro contato. Quem assiste a 50% ou mais do vídeo recebe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de A2 e A3.</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Aumento significativo da associação nos expostos em relação aos não expostos; retenção acima da linha de base (painel 2 e 3).</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insight revela dúvidas práticas (o café não resolve? quanto é demais?). Sem explicação, o interesse gerado por A1 não vira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com método para o seu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Ler ou salvar o guia; clicar para comprar; entrar no Diário de Bordo.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tráfego de A1, A3 e A4 (QR). Envia para A5, A6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Clique para compra em pelo menos 8% das visitas qualificadas (estimativa do grupo).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Testa a hipótese 2 da Parte 1 (o conteúdo gera alcance orgânico) no novo posicionamento. A prova social reduz a resistência descrita no insight.</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como você já usam Red Bull nas suas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Publicar a própria conquista com #MeuVooDeHoje, comentar e compartilhar.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Alimenta A7 (convite para a comunidade) e, na próxima rodada, A1 (as melhores histórias de #MeuVooDeHoje viram vídeo).</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crescente a cada onda; sentimento positivo em pelo menos 70% das menções no tema (estimativa do grupo).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diferenciais citados na Parte 2 (sabor, consistência, conveniência) só são percebidos na experiência. Experimentar reduz o risco percebido por quem compara com café.</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Uma pausa que devolve você ao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Experimentar, escanear o QR e resgatar o cupom em até 7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Acontece depois de A1 e A2, quando o público já ouviu falar da campanha. Leva a A6 (cupom) e a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Resgate do cupom em pelo menos 15% das amostras (estimativa do grupo).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 barreiras são o preço premium e a concorrência do café e de energéticos de baixo custo. No PDV, a escolha é rápida: a marca precisa lembrar a ocasião de foco, e não disputar preço.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para a entrega de hoje, já gelada.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Comprar a lata ou o combo na loja.</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Entra no ar na S6, depois de A1 e A2, e lembra na loja a ocasião de foco que eles apresentaram. Nas semanas de provas, atua junto com A4. O QR leva a A2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das lojas participantes acima das lojas</w:t>
              <w:noBreakHyphen/>
              <w:t xml:space="preserve">controle (meta do painel 5).</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Parte 2 já previa os aplicativos na fidelização. Como metade das matrículas está em EaD e 9,5 milhões de pessoas trabalhavam remotamente em 2022 (complemento A), o momento de foco acontece em casa.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seu momento de foco, entregue.</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Pedir o combo e repetir o pedido em até 30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cupons de A4 e tráfego de A2. É reativada por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Recompra em 30 dias na meta do painel 6; pedidos crescentes nas semanas de provas.</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fidelização prevista na jornada (associar a marca ao estilo de vida diário) exige contato recorrente. Sem ele, a marca só é lembrada no próximo aperto.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Acompanhar a sua rotina de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Permanecer na base, registrar metas e voltar a comprar.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contatos de A2, A4 e A5. Reativa compras em A6.</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Recompra dos membros maior que a dos não membros; descadastro de no máximo 5% ao mês (estimativa do grupo).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0" w:line="240" w:lineRule="auto"/>
        <w:rPr>
          <w:sz w:val="2"/>
          <w:szCs w:val="2"/>
        </w:rPr>
        <w:sectPr>
          <w:pgSz w:w="16834" w:h="11909" w:orient="landscape"/>
          <w:pgMar w:bottom="1440" w:top="1440" w:left="1440" w:right="1440" w:header="1134" w:footer="720"/>
        </w:sectPr>
      </w:pPr>
    </w:p>
    <w:p>
      <w:pPr>
        <w:keepNext w:val="1"/>
        <w:spacing w:before="36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Organizamos o cronograma em ondas, para que o público receba a mensagem na ordem certa. Primeiro vêm a atenção e a nova associação, depois a explicação e as provas, em seguida o convite à compra e, por fim, o relacionamento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12 – </w:t>
      </w:r>
      <w:r>
        <w:rPr>
          <w:rFonts w:ascii="Times New Roman" w:cs="Times New Roman" w:eastAsia="Times New Roman" w:hAnsi="Times New Roman"/>
          <w:sz w:val="24"/>
          <w:szCs w:val="24"/>
        </w:rPr>
        <w:t xml:space="preserve">Ondas de comunicação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100"/>
        <w:gridCol w:w="2729"/>
        <w:gridCol w:w="1350"/>
        <w:gridCol w:w="2200"/>
      </w:tblGrid>
      <w:tr>
        <w:trPr>
          <w:cantSplit w:val="1"/>
          <w:tblHeader w:val="1"/>
        </w:trPr>
        <w:tc>
          <w:tcPr>
            <w:tcW w:w="16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Onda</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Semanas</w:t>
            </w:r>
          </w:p>
        </w:tc>
        <w:tc>
          <w:tcPr>
            <w:tcW w:w="2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Atividades</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Ações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ao Público</w:t>
            </w:r>
          </w:p>
        </w:tc>
      </w:tr>
      <w:tr>
        <w:trPr>
          <w:cantSplit w:val="1"/>
        </w:trPr>
        <w:tc>
          <w:tcPr>
            <w:tcW w:w="16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Preparar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 a S3</w:t>
            </w:r>
          </w:p>
        </w:tc>
        <w:tc>
          <w:tcPr>
            <w:tcW w:w="2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Contratação e </w:t>
            </w:r>
            <w:r>
              <w:rPr>
                <w:rFonts w:ascii="Times New Roman" w:cs="Times New Roman" w:eastAsia="Times New Roman" w:hAnsi="Times New Roman"/>
                <w:i w:val="1"/>
                <w:iCs w:val="1"/>
                <w:sz w:val="24"/>
                <w:szCs w:val="24"/>
              </w:rPr>
              <w:t xml:space="preserve">briefing</w:t>
            </w:r>
            <w:r>
              <w:rPr>
                <w:rFonts w:ascii="Times New Roman" w:cs="Times New Roman" w:eastAsia="Times New Roman" w:hAnsi="Times New Roman"/>
                <w:sz w:val="24"/>
                <w:szCs w:val="24"/>
              </w:rPr>
              <w:t xml:space="preserve"> dos criadores; produção dos 6 primeiros vídeos, do Hub e das peças de PDV; acordos com iFood, Rappi, universidades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revisão jurídica e regulatória; pesquisa de linha de base; montagem do painel</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Todas (bastidores)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Nada: o público ainda não é exposto</w:t>
            </w:r>
          </w:p>
        </w:tc>
      </w:tr>
      <w:tr>
        <w:trPr>
          <w:cantSplit w:val="1"/>
        </w:trPr>
        <w:tc>
          <w:tcPr>
            <w:tcW w:w="16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Lançar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S6</w:t>
            </w:r>
          </w:p>
        </w:tc>
        <w:tc>
          <w:tcPr>
            <w:tcW w:w="2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Estreia dos 6 primeiros vídeos com mídia de alcance; Hub no ar; pauta de imprensa; PDV instalado até a S6; produção dos outros 6 vídeos</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A2, A3, A5</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Atenção e nova associação: “Todo dia tem um voo”</w:t>
            </w:r>
          </w:p>
        </w:tc>
      </w:tr>
      <w:tr>
        <w:trPr>
          <w:cantSplit w:val="1"/>
        </w:trPr>
        <w:tc>
          <w:tcPr>
            <w:tcW w:w="16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Sustentar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S7 a S9</w:t>
            </w:r>
          </w:p>
        </w:tc>
        <w:tc>
          <w:tcPr>
            <w:tcW w:w="2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Mais 6 vídeos; chamada #MeuVooDeHoje e depoimentos;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para o Hub; combo no ar nos aplicativos; abertura do Diário de Bordo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A2, A3, A5,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Explicação e provas: como usar, quem já usa, por que confiar</w:t>
            </w:r>
          </w:p>
        </w:tc>
      </w:tr>
      <w:tr>
        <w:trPr>
          <w:cantSplit w:val="1"/>
        </w:trPr>
        <w:tc>
          <w:tcPr>
            <w:tcW w:w="16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Converter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S10 a S12</w:t>
            </w:r>
          </w:p>
        </w:tc>
        <w:tc>
          <w:tcPr>
            <w:tcW w:w="2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Pausa com Asas nas semanas de provas; vitrine e cupons nos aplicativos; PDV com combo; lembretes do Diário de Bordo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A3, A4, A5,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Convite claro: experimentar e comprar no momento de foco</w:t>
            </w:r>
          </w:p>
        </w:tc>
      </w:tr>
      <w:tr>
        <w:trPr>
          <w:cantSplit w:val="1"/>
        </w:trPr>
        <w:tc>
          <w:tcPr>
            <w:tcW w:w="16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Aprender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S13 (com pontos de controle em S6 e S9)</w:t>
            </w:r>
          </w:p>
        </w:tc>
        <w:tc>
          <w:tcPr>
            <w:tcW w:w="2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pós</w:t>
              <w:noBreakHyphen/>
              <w:t xml:space="preserve">campanha; leitura final do painel; relatório com a decisão de manter, ajustar, escalar ou encerrar cada ação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A7, painel e pesquisas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Relacionamento contínuo pelo Diário de Bordo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Viabilidade:</w:t>
      </w:r>
      <w:r>
        <w:rPr>
          <w:rFonts w:ascii="Times New Roman" w:cs="Times New Roman" w:eastAsia="Times New Roman" w:hAnsi="Times New Roman"/>
          <w:sz w:val="24"/>
          <w:szCs w:val="24"/>
        </w:rPr>
        <w:t xml:space="preserve"> consideramos que três semanas de preparação são suficientes, pois o plano usa recursos que a marca já tem, como a identidade visual, a Red Bull Media House, a rede de distribuição e as geladeiras instaladas. As peças de PDV são apenas adaptações, como adesivos e testeiras, e não equipamentos novos. Além disso, os vídeos são produzidos em dois lotes, para que o segundo já aproveite o que foi aprendido com o primeiro.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13 – </w:t>
      </w:r>
      <w:r>
        <w:rPr>
          <w:rFonts w:ascii="Times New Roman" w:cs="Times New Roman" w:eastAsia="Times New Roman" w:hAnsi="Times New Roman"/>
          <w:sz w:val="24"/>
          <w:szCs w:val="24"/>
        </w:rPr>
        <w:t xml:space="preserve">Cronograma semanal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9"/>
        <w:gridCol w:w="530"/>
        <w:gridCol w:w="530"/>
        <w:gridCol w:w="530"/>
        <w:gridCol w:w="530"/>
        <w:gridCol w:w="530"/>
        <w:gridCol w:w="530"/>
        <w:gridCol w:w="530"/>
        <w:gridCol w:w="530"/>
        <w:gridCol w:w="530"/>
        <w:gridCol w:w="530"/>
        <w:gridCol w:w="530"/>
        <w:gridCol w:w="530"/>
        <w:gridCol w:w="1110"/>
      </w:tblGrid>
      <w:tr>
        <w:trPr>
          <w:cantSplit w:val="1"/>
          <w:tblHeader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Preparar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Lançar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Sustentar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Converter</w:t>
            </w: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Aprender</w:t>
            </w:r>
          </w:p>
        </w:tc>
      </w:tr>
      <w:tr>
        <w:trPr>
          <w:cantSplit w:val="1"/>
          <w:tblHeader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S2</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S3</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S4</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S5</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S6</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S7</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S8</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S9</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S10</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S11</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S12</w:t>
            </w: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S13</w:t>
            </w: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5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Painel e pesquisas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1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r>
    </w:tbl>
    <w:p>
      <w:pPr>
        <w:keepNext w:val="1"/>
        <w:spacing w:before="60" w:after="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Legenda: cinza-claro = preparação e produção; cinza-médio = ação no ar; PC = ponto de controle (S6 e S9) e avaliação final (S13).</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11.1 Governança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14 – </w:t>
      </w:r>
      <w:r>
        <w:rPr>
          <w:rFonts w:ascii="Times New Roman" w:cs="Times New Roman" w:eastAsia="Times New Roman" w:hAnsi="Times New Roman"/>
          <w:sz w:val="24"/>
          <w:szCs w:val="24"/>
        </w:rPr>
        <w:t xml:space="preserve">Responsabilidades, aprovação, prazo e risco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5"/>
        <w:gridCol w:w="1480"/>
        <w:gridCol w:w="1600"/>
        <w:gridCol w:w="1300"/>
        <w:gridCol w:w="1550"/>
        <w:gridCol w:w="1564"/>
      </w:tblGrid>
      <w:tr>
        <w:trPr>
          <w:cantSplit w:val="1"/>
          <w:tblHeader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Entrega</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Responsável</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Apoio</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Aprovação</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Prazo</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Risco e Prevenção</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Media House, agência de conteúdo, criadores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Diretoria de Marketing e Regulatório</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Lote 1 até S3; lote 2 até S6</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Criador envolvido em polêmica ou que romantize noites sem dormir. Prevenção: contrato com cláusulas de conduta, roteiro aprovado e aviso de consumo responsável.</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digital, TI</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Regulatório</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ar na S4</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Alegação funcional indevida, como prometer melhora de desempenho. Prevenção: falar da ocasião de uso, com texto revisado.</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 RP</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redes sociais, Gerência de Marca</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Diretoria de Marketing</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Pauta na S4; conteúdo de usuários de S7 a S12</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 com consumo excessivo ou com menores de idade. Prevenção: regulamento só para maiores de 18 anos, moderação e autorização de uso de imagem.</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 Field Marketing</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promoção, embaixadores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Jurídico e instituições parceiras</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Acordos até S3; execução de S10 a S12</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Instituição não autorizar a ação. Prevenção: priorizar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o entorno dos campi; checagem de idade.</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Marketing</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Distribuidores, redes varejistas</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Comercial</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Instalação até S6</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Material não instalado ou falta de produto. Prevenção: auditoria fotográfica semanal e reposição prioritária.</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w:t>
              <w:noBreakHyphen/>
              <w:t xml:space="preserve">commerce / Key Account</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Rappi,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Comercial</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Combo no ar na S7</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Falta de produto nos parceiros ou conflito de preço com o varejo. Prevenção: seleção de parceiros e preço sugerido.</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CRM</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Jurídico (LGPD)</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aberta na S7</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Baixa adesão ou uso indevido de dados. Prevenção: consentimento explícito e no máximo um contato por semana.</w:t>
            </w:r>
          </w:p>
        </w:tc>
      </w:tr>
      <w:tr>
        <w:trPr>
          <w:cantSplit w:val="1"/>
        </w:trPr>
        <w:tc>
          <w:tcPr>
            <w:tcW w:w="1535"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Painel e pesquisas</w:t>
            </w:r>
          </w:p>
        </w:tc>
        <w:tc>
          <w:tcPr>
            <w:tcW w:w="148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Inteligência de Mercado</w:t>
            </w:r>
          </w:p>
        </w:tc>
        <w:tc>
          <w:tcPr>
            <w:tcW w:w="16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Instituto de pesquisa,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w:t>
            </w:r>
          </w:p>
        </w:tc>
        <w:tc>
          <w:tcPr>
            <w:tcW w:w="1550"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Linha de base até S3; pós</w:t>
              <w:noBreakHyphen/>
              <w:t xml:space="preserve">campanha na S13</w:t>
            </w:r>
          </w:p>
        </w:tc>
        <w:tc>
          <w:tcPr>
            <w:tcW w:w="1564" w:type="dxa"/>
            <w:tcBorders>
              <w:top w:color="c4c7c5" w:space="0" w:sz="6" w:val="single"/>
              <w:left w:color="c4c7c5" w:space="0" w:sz="6" w:val="single"/>
              <w:bottom w:color="c4c7c5" w:space="0" w:sz="6" w:val="single"/>
              <w:right w:color="c4c7c5" w:space="0" w:sz="6" w:val="single"/>
            </w:tcBorders>
            <w:tcMar>
              <w:top w:w="60" w:type="dxa"/>
              <w:left w:w="60" w:type="dxa"/>
              <w:bottom w:w="60" w:type="dxa"/>
              <w:right w:w="6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Atraso na linha de base, o que impediria a comparação. Prevenção: contratar a pesquisa já na S1.</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Cargos ilustrativos.</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11.2 Rotina Mínima de Acompanhamento</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Semanal (30 Minutos, de S4 a S12):</w:t>
      </w:r>
      <w:r>
        <w:rPr>
          <w:rFonts w:ascii="Times New Roman" w:cs="Times New Roman" w:eastAsia="Times New Roman" w:hAnsi="Times New Roman"/>
          <w:sz w:val="24"/>
          <w:szCs w:val="24"/>
        </w:rPr>
        <w:t xml:space="preserve"> participam os responsáveis pelas ações e a área de Inteligência de Mercado. A pauta é sempre a mesma e segue quatro pontos: o painel da semana, os desvios em relação às metas, os riscos e bloqueios e, por fim, as decisões.</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Registro de Decisões:</w:t>
      </w:r>
      <w:r>
        <w:rPr>
          <w:rFonts w:ascii="Times New Roman" w:cs="Times New Roman" w:eastAsia="Times New Roman" w:hAnsi="Times New Roman"/>
          <w:sz w:val="24"/>
          <w:szCs w:val="24"/>
        </w:rPr>
        <w:t xml:space="preserve"> cada decisão é anotada em uma planilha compartilhada, com a data, o que foi decidido, o motivo, o responsável e o prazo. Essa planilha funciona como o histórico do projeto e é usada na elaboração do relatório final.</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Pontos de Controle (S6 e S9):</w:t>
      </w:r>
      <w:r>
        <w:rPr>
          <w:rFonts w:ascii="Times New Roman" w:cs="Times New Roman" w:eastAsia="Times New Roman" w:hAnsi="Times New Roman"/>
          <w:sz w:val="24"/>
          <w:szCs w:val="24"/>
        </w:rPr>
        <w:t xml:space="preserve"> reunião de uma hora com a Diretoria de Marketing para decidir como usar a reserva de mídia (R$ 150 mil, seção 12) nas ações que estiverem acima da meta.</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de Aprendizagem (S13):</w:t>
      </w:r>
      <w:r>
        <w:rPr>
          <w:rFonts w:ascii="Times New Roman" w:cs="Times New Roman" w:eastAsia="Times New Roman" w:hAnsi="Times New Roman"/>
          <w:sz w:val="24"/>
          <w:szCs w:val="24"/>
        </w:rPr>
        <w:t xml:space="preserve"> é o momento de apresentar o relatório final, com o resultado, a interpretação, o aprendizado e os próximos passos, e de decidir o que será feito com cada ação (seção 14).</w:t>
      </w:r>
    </w:p>
    <w:p>
      <w:pPr>
        <w:keepNext w:val="1"/>
        <w:spacing w:before="36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p>
      <w:pPr>
        <w:keepNext w:val="1"/>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Premissas do Orçamento (Valores Fictícios para Fins Acadêmicos):</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valores estão em reais e foram estimados pelo grupo. Não são custos reais da Red Bull nem cotações de fornecedores.</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plano tem duração de 13 semanas, com ações digitais em todo o país e ações presenciais em cinco cidades-piloto.</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verba de mídia é uma verba de teste, ou seja, é suficiente para medir o efeito da campanha, mas não busca o alcance máximo. Como não cotamos os custos de mídia, sempre que um deles entra no cálculo de uma meta, ele aparece como premissa fictícia.</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inclui o produto usado nas amostras e o subsídio dos cupons, com valores fictícios.</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não inclui os custos que a marca já tem, no caso, a equipe interna fixa, as geladeiras instaladas e os patrocínios de esportes e eSports.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1 – </w:t>
      </w:r>
      <w:r>
        <w:rPr>
          <w:rFonts w:ascii="Times New Roman" w:cs="Times New Roman" w:eastAsia="Times New Roman" w:hAnsi="Times New Roman"/>
          <w:sz w:val="24"/>
          <w:szCs w:val="24"/>
        </w:rPr>
        <w:t xml:space="preserve">Orçamento por categoria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5229"/>
        <w:gridCol w:w="21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Categoria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Item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 (R$)</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Cachê dos 6 criadores e produção dos 12 vídeos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conteúdo, design e desenvolvimento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Peças de PDV: criação e impressão para cerca de 600 lojas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Estações modulares de ativação para 5 cidades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Conteúdos de redes sociais e CRM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900.000 (24,0%)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Impulsionamento dos vídeos: TikTok, Meta e YouTube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para o Hub e as provas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Mídia nos aplicativos de entrega: vitrine, banners e notificações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Reserva para escalar ações acima da meta nos pontos de 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1.600.000 (42,7%)</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Promotores e embaixadores, logística e deslocamentos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Produto para amostragem: 40 mil latas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Subsídio de cupons e combos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Instalação e auditoria de PDV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Assessoria de imprensa e moderação de comunidade (A3)</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110.000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Ferramentas: plataforma de conteúdo de usuários e de WhatsApp/e</w:t>
              <w:noBreakHyphen/>
              <w:t xml:space="preserve">mail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Revisão jurídica e regulatória, contratos e direitos de imagem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870.000 (23,2%)</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de linha de base e pós</w:t>
              <w:noBreakHyphen/>
              <w:t xml:space="preserve">campanha com o público prioritário (cerca de 1.200 entrevistas em cada medição)</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Estudos de </w:t>
            </w:r>
            <w:r>
              <w:rPr>
                <w:rFonts w:ascii="Times New Roman" w:cs="Times New Roman" w:eastAsia="Times New Roman" w:hAnsi="Times New Roman"/>
                <w:i w:val="1"/>
                <w:iCs w:val="1"/>
                <w:sz w:val="24"/>
                <w:szCs w:val="24"/>
              </w:rPr>
              <w:t xml:space="preserve">brand lift</w:t>
            </w:r>
            <w:r>
              <w:rPr>
                <w:rFonts w:ascii="Times New Roman" w:cs="Times New Roman" w:eastAsia="Times New Roman" w:hAnsi="Times New Roman"/>
                <w:sz w:val="24"/>
                <w:szCs w:val="24"/>
              </w:rPr>
              <w:t xml:space="preserve"> nas plataformas de vídeo</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Pr>
              <w:t xml:space="preserve">Social listening</w:t>
            </w:r>
            <w:r>
              <w:rPr>
                <w:rFonts w:ascii="Times New Roman" w:cs="Times New Roman" w:eastAsia="Times New Roman" w:hAnsi="Times New Roman"/>
                <w:sz w:val="24"/>
                <w:szCs w:val="24"/>
              </w:rPr>
              <w:t xml:space="preserve"> (3 meses)</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Dados de vendas e análise de lojas participantes e lojas</w:t>
              <w:noBreakHyphen/>
              <w:t xml:space="preserve">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w:t>
            </w:r>
            <w:r>
              <w:rPr>
                <w:rFonts w:ascii="Times New Roman" w:cs="Times New Roman" w:eastAsia="Times New Roman" w:hAnsi="Times New Roman"/>
                <w:i w:val="1"/>
                <w:iCs w:val="1"/>
                <w:sz w:val="24"/>
                <w:szCs w:val="24"/>
              </w:rPr>
              <w:t xml:space="preserve">dashboard</w:t>
            </w:r>
            <w:r>
              <w:rPr>
                <w:rFonts w:ascii="Times New Roman" w:cs="Times New Roman" w:eastAsia="Times New Roman" w:hAnsi="Times New Roman"/>
                <w:sz w:val="24"/>
                <w:szCs w:val="24"/>
              </w:rPr>
              <w:t xml:space="preserve">), análise e relatório final</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380.000 (10,1%)</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3.750.000 (100%)</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2 – </w:t>
      </w:r>
      <w:r>
        <w:rPr>
          <w:rFonts w:ascii="Times New Roman" w:cs="Times New Roman" w:eastAsia="Times New Roman" w:hAnsi="Times New Roman"/>
          <w:sz w:val="24"/>
          <w:szCs w:val="24"/>
        </w:rPr>
        <w:t xml:space="preserve">Orçamento por ação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29"/>
        <w:gridCol w:w="1800"/>
        <w:gridCol w:w="1500"/>
        <w:gridCol w:w="1500"/>
      </w:tblGrid>
      <w:tr>
        <w:trPr>
          <w:cantSplit w:val="1"/>
          <w:tblHeader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 (R$)</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 do Total</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Prioridade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1.380.000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36,8%</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9,1%</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4,3%</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14,4%</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6,4%</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12,8%</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Transversal: mensuração, reserva de mídia e revisão jurídica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560.000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14,9%</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3.750.000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Itens compartilhados entre A3 e A7 foram divididos igualmente.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15 – </w:t>
      </w:r>
      <w:r>
        <w:rPr>
          <w:rFonts w:ascii="Times New Roman" w:cs="Times New Roman" w:eastAsia="Times New Roman" w:hAnsi="Times New Roman"/>
          <w:sz w:val="24"/>
          <w:szCs w:val="24"/>
        </w:rPr>
        <w:t xml:space="preserve">Critérios de priorização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0"/>
        <w:gridCol w:w="1550"/>
        <w:gridCol w:w="1400"/>
        <w:gridCol w:w="1000"/>
        <w:gridCol w:w="1450"/>
        <w:gridCol w:w="1490"/>
        <w:gridCol w:w="1439"/>
      </w:tblGrid>
      <w:tr>
        <w:trPr>
          <w:cantSplit w:val="1"/>
          <w:tblHeader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Impacto Esperado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Urgência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Custo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Capacidade de Execução</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Facilidade de Medir</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ataca o problema central de percepção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abre a sequência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competência audiovisual da marca</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w:t>
            </w:r>
            <w:r>
              <w:rPr>
                <w:rFonts w:ascii="Times New Roman" w:cs="Times New Roman" w:eastAsia="Times New Roman" w:hAnsi="Times New Roman"/>
                <w:i w:val="1"/>
                <w:iCs w:val="1"/>
                <w:sz w:val="24"/>
                <w:szCs w:val="24"/>
              </w:rPr>
              <w:t xml:space="preserve">brand lift</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 maior fatia da verba</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a alto: transforma interesse em consideração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precisa estar no ar no lançamento</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cliques para compra</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 barata e necessária às demais</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converte onde o foco acontece (em casa)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canal já previsto na Parte 2</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pedidos e recompra</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por pessoa, mas de alcance limitado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do calendário de provas</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por pessoa</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de autorizações</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a alta: cupom rastreável</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 restrita a 5 cidades e 3 semanas</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a alto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rede de distribuição existente</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lojas participantes e lojas</w:t>
              <w:noBreakHyphen/>
              <w:t xml:space="preserve">controle</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credibilidade</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da adesão do público</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w:t>
            </w:r>
            <w:r>
              <w:rPr>
                <w:rFonts w:ascii="Times New Roman" w:cs="Times New Roman" w:eastAsia="Times New Roman" w:hAnsi="Times New Roman"/>
                <w:i w:val="1"/>
                <w:iCs w:val="1"/>
                <w:sz w:val="24"/>
                <w:szCs w:val="24"/>
              </w:rPr>
              <w:t xml:space="preserve">social listening</w:t>
            </w:r>
            <w:r>
              <w:rPr>
                <w:rFonts w:ascii="Times New Roman" w:cs="Times New Roman" w:eastAsia="Times New Roman" w:hAnsi="Times New Roman"/>
                <w:sz w:val="24"/>
                <w:szCs w:val="24"/>
              </w:rPr>
              <w:t xml:space="preserve"> e participação</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 barata e testa a hipótese 2</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no curto prazo, alto no longo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Baixa: começa na S7</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w:t>
            </w:r>
          </w:p>
        </w:tc>
        <w:tc>
          <w:tcPr>
            <w:tcW w:w="149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recompra de membros</w:t>
            </w:r>
          </w:p>
        </w:tc>
        <w:tc>
          <w:tcPr>
            <w:tcW w:w="143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3: base para as próximas rodadas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nos critérios de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Justificativa da Distribuição:</w:t>
      </w:r>
      <w:r>
        <w:rPr>
          <w:rFonts w:ascii="Times New Roman" w:cs="Times New Roman" w:eastAsia="Times New Roman" w:hAnsi="Times New Roman"/>
          <w:sz w:val="24"/>
          <w:szCs w:val="24"/>
        </w:rPr>
        <w:t xml:space="preserve"> a maior fatia vai para A1, pois o objetivo do plano é mudar uma percepção e, sem a nova associação, as demais ações perdem efeito. A mídia (42,7%) supera a produção porque o plano reaproveita recursos já existentes da marca e precisa chegar a um público grande. Somando universitários e trabalhadores remotos, são cerca de 20 milhões de pessoas, sem descontar a sobreposição entre os dois grupos (complemento A). Já a mensuração recebe 10,1%, fatia que consideramos acima do comum em campanhas de manutenção. Optamos por esse valor porque este é um piloto e, quando o recurso é limitado, deve-se priorizar o que mais reduz a incerteza ou aumenta a aprendizagem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Limitamos os cupons a 4,8% do total por uma questão de posicionamento. A Red Bull pratica preço premium e é a terceira marca em volume no canal moderno brasileiro, atrás de Monster e Baly (NIELSENIQ apud GIRONEWS, 2025). Entrar em uma disputa de preço enfraqueceria esse posicionamento. Por isso, o plano vende a ocasião de consumo e o significado da marca.</w:t>
      </w:r>
    </w:p>
    <w:p>
      <w:pPr>
        <w:spacing w:before="0" w:after="0" w:line="240" w:lineRule="auto"/>
        <w:rPr>
          <w:sz w:val="2"/>
          <w:szCs w:val="2"/>
        </w:rPr>
        <w:sectPr>
          <w:pgSz w:w="11909" w:h="16834" w:orient="portrait"/>
          <w:pgMar w:bottom="1440" w:top="1440" w:left="1440" w:right="1440" w:header="1134" w:footer="720"/>
        </w:sectPr>
      </w:pPr>
    </w:p>
    <w:p>
      <w:pPr>
        <w:keepNext w:val="1"/>
        <w:spacing w:before="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Definimos um painel com seis indicadores, e cada um deles está ligado a uma etapa da jornada e ao objetivo de comunicação. Os KPIs de cada ação (Quadro 10) são acompanhados pelos responsáveis como métricas de diagnóstico e só entram no painel quando ajudam a explicar algum desvio. Curtidas, seguidores e impressões isoladas ficaram de fora, pois não mudam nenhuma decisão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Esse número está dentro da faixa de quatro a seis indicadores sugerida em aula, embora a atividade da Parte 3 peça de três a cinco (SOUZA, 2026c). Mantivemos um indicador a mais porque o objetivo tem duas partes (associação e consideração), que precisam ser medidas separadamente, e porque também é preciso saber se a nova ocasião de consumo vira hábito (recompra). Mesmo assim, o painel continua pequeno o bastante para orientar decisões.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Hierarquia de Métricas Adotada:</w:t>
      </w:r>
      <w:r>
        <w:rPr>
          <w:rFonts w:ascii="Times New Roman" w:cs="Times New Roman" w:eastAsia="Times New Roman" w:hAnsi="Times New Roman"/>
          <w:sz w:val="24"/>
          <w:szCs w:val="24"/>
        </w:rPr>
        <w:t xml:space="preserve"> optamos por deixar de fora do plano as métricas de vaidade, como curtidas e seguidores. As métricas de diagnóstico, que são os KPIs de cada ação, servem para explicar por que um resultado aconteceu. Já as métricas de decisão, que são os seis indicadores do painel, mostram se cada ação deve ser mantida, ajustada, escalada ou encerrada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Sobre as Linhas de Base:</w:t>
      </w:r>
      <w:r>
        <w:rPr>
          <w:rFonts w:ascii="Times New Roman" w:cs="Times New Roman" w:eastAsia="Times New Roman" w:hAnsi="Times New Roman"/>
          <w:sz w:val="24"/>
          <w:szCs w:val="24"/>
        </w:rPr>
        <w:t xml:space="preserve"> como não temos acesso aos dados internos da Red Bull, as linhas de base do painel são valores fictícios para fins acadêmicos e estão identificadas dessa forma. Em uma execução real, esses valores seriam substituídos pelos resultados da pesquisa de linha de base (S2 e S3) e pelo histórico da empresa e dos parceiros. Já as metas são estimativas do grupo.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16 – </w:t>
      </w:r>
      <w:r>
        <w:rPr>
          <w:rFonts w:ascii="Times New Roman" w:cs="Times New Roman" w:eastAsia="Times New Roman" w:hAnsi="Times New Roman"/>
          <w:sz w:val="24"/>
          <w:szCs w:val="24"/>
        </w:rPr>
        <w:t xml:space="preserve">Painel de mensuração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0"/>
        <w:gridCol w:w="1900"/>
        <w:gridCol w:w="1800"/>
        <w:gridCol w:w="1800"/>
        <w:gridCol w:w="1700"/>
        <w:gridCol w:w="1320"/>
        <w:gridCol w:w="3294"/>
      </w:tblGrid>
      <w:tr>
        <w:trPr>
          <w:cantSplit w:val="1"/>
          <w:tblHeader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 (Etapa)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Ligação com 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Linha de Base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Meta (3 Meses)</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Fonte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Frequência</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 (Subir, Cair ou Estagnar)</w:t>
            </w:r>
          </w:p>
        </w:tc>
      </w:tr>
      <w:tr>
        <w:trPr>
          <w:cantSplit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Alcance qualificado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Leva a nova associação ao público prioritário; é condição para mudar a percepção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Zero, porque a campanha é nova. Referência: alcance de campanhas anteriores da marca (a levantar)</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10 milhões de pessoas únicas de 18 a 35 anos com interesse em estudo, carreira ou produtividade, com frequência média de pelo menos 3 (estimativa do grupo, com custo por mil impressões fictício de R$ 20)</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Gerenciadores de anúncios (TikTok, Meta, Google)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Semanal</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concentrar verba nos criadores com menor custo por pessoa qualificada.</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revisar segmentação e lances.</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(alcance sobe, mas o indicador 3 não): o problema está na mensagem e não na verba; trocar criativos antes de investir mais.</w:t>
            </w:r>
          </w:p>
        </w:tc>
      </w:tr>
      <w:tr>
        <w:trPr>
          <w:cantSplit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Engajamento relevante: retenção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história é assistida por tempo suficiente para passar a 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 das visualizações chegam a 75% do vídeo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Analytics das plataformas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Semanal</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repetir ganchos e formatos vencedores no segundo lote.</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pausar vídeos com retenção abaixo de 10%.</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testar novas aberturas (3 primeiros segundos) e duração de 30 s contra 60 s.</w:t>
            </w:r>
          </w:p>
        </w:tc>
      </w:tr>
      <w:tr>
        <w:trPr>
          <w:cantSplit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Percepção de marca: associação a foco (Descoberta e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diretamente a mudança pedida no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22% do público prioritário associa a Red Bull a “energia para momentos de foco no estudo ou trabalho” (notas 4 e 5 numa escala de 1 a 5;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 (+8 p.p.), com aumento significativo nos expostos em relação aos não expostos; associação com “superar limites” sem queda maior que 2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pré e pós com instituto; </w:t>
            </w:r>
            <w:r>
              <w:rPr>
                <w:rFonts w:ascii="Times New Roman" w:cs="Times New Roman" w:eastAsia="Times New Roman" w:hAnsi="Times New Roman"/>
                <w:i w:val="1"/>
                <w:iCs w:val="1"/>
                <w:sz w:val="24"/>
                <w:szCs w:val="24"/>
              </w:rPr>
              <w:t xml:space="preserve">brand lift</w:t>
            </w:r>
            <w:r>
              <w:rPr>
                <w:rFonts w:ascii="Times New Roman" w:cs="Times New Roman" w:eastAsia="Times New Roman" w:hAnsi="Times New Roman"/>
                <w:sz w:val="24"/>
                <w:szCs w:val="24"/>
              </w:rPr>
              <w:t xml:space="preserve"> das plataformas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Pré (S2 e S3), meio (S7) e pós (S13)</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estratégia validada; propor expansão na próxima rodada.</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ou “superar limites” cai: a narrativa se afastou da essência; reforçar os códigos da marca.</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a mensagem não está sendo entendida; reforçar as provas (A2 e A3).</w:t>
            </w:r>
          </w:p>
        </w:tc>
      </w:tr>
      <w:tr>
        <w:trPr>
          <w:cantSplit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Consideração para estudo e trabalho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a segunda parte do objetivo: elevar a consideração de compra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 do público prioritário consideraria comprar Red Bull para estudar ou trabalhar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 (+6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pré e pós; </w:t>
            </w:r>
            <w:r>
              <w:rPr>
                <w:rFonts w:ascii="Times New Roman" w:cs="Times New Roman" w:eastAsia="Times New Roman" w:hAnsi="Times New Roman"/>
                <w:i w:val="1"/>
                <w:iCs w:val="1"/>
                <w:sz w:val="24"/>
                <w:szCs w:val="24"/>
              </w:rPr>
              <w:t xml:space="preserve">brand lift</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Pré, meio e pós</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junto com o indicador 5: manter o mix.</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sem o indicador 5: a barreira está na compra (preço ou disponibilidade); reforçar A5 e A6.</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ou estagna: reforçar explicação e experimentação (A2 e A4).</w:t>
            </w:r>
          </w:p>
        </w:tc>
      </w:tr>
      <w:tr>
        <w:trPr>
          <w:cantSplit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Conversão desejada: vendas na ocasião de foco (Compra)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mudança de percepção vira comportamento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das lojas participantes nas 8 semanas anteriores (índice 100) e pedidos de Red Bull nos aplicativos no mesmo período (valores fictícios;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8% acima das lojas</w:t>
              <w:noBreakHyphen/>
              <w:t xml:space="preserve">controle e 50 mil pedidos do combo em 6 semanas (estimativas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Dados de vendas de distribuidores ou NielsenIQ; relatórios do iFood e do Rappi</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Quinzenal</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levar o material de PDV a mais lojas do mesmo perfil.</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verificar a execução (material instalado? falta de produto?).</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testar outro apelo (combo contra mensagem) em metade das lojas.</w:t>
            </w:r>
          </w:p>
        </w:tc>
      </w:tr>
      <w:tr>
        <w:trPr>
          <w:cantSplit w:val="1"/>
        </w:trPr>
        <w:tc>
          <w:tcPr>
            <w:tcW w:w="21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 Relacionamento: recompra em 30 dias (Fidelização)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nova ocasião de consumo vira hábito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 dos compradores de Red Bull nos aplicativos compram de novo em 30 dias (valor fictício;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28% entre compradores do combo; membros do Diário de Bordo acima dos não membros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Parceiros (iFood e Rappi) e base de CRM</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Quinzenal, a partir da S11</w:t>
            </w:r>
          </w:p>
        </w:tc>
        <w:tc>
          <w:tcPr>
            <w:tcW w:w="329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manter o cupom de recompra e ampliar o Diário de Bordo.</w:t>
            </w:r>
          </w:p>
          <w:p>
            <w:pPr>
              <w:keepNext w:val="1"/>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revisar a oferta e a frequência de contato.</w:t>
            </w:r>
          </w:p>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trocar o desconto por gatilhos de calendário (provas, fechamento de mês).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Linhas de base fictícias e metas estimadas pelo grupo.</w:t>
      </w:r>
    </w:p>
    <w:p>
      <w:pPr>
        <w:spacing w:before="0" w:after="0" w:line="240" w:lineRule="auto"/>
        <w:rPr>
          <w:sz w:val="2"/>
          <w:szCs w:val="2"/>
        </w:rPr>
        <w:sectPr>
          <w:pgSz w:w="16834" w:h="11909" w:orient="landscape"/>
          <w:pgMar w:bottom="1440" w:top="1440" w:left="1440" w:right="1440" w:header="1134" w:footer="720"/>
        </w:sectPr>
      </w:pPr>
    </w:p>
    <w:p>
      <w:pPr>
        <w:keepNext w:val="1"/>
        <w:spacing w:before="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avaliação fecha o ciclo Planejar, Executar, Medir e Aprender. Além de servir como prestação de contas, o relatório final funciona como a memória estratégica do plano, pois é ele que orienta a próxima rodada de comunicação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17 – </w:t>
      </w:r>
      <w:r>
        <w:rPr>
          <w:rFonts w:ascii="Times New Roman" w:cs="Times New Roman" w:eastAsia="Times New Roman" w:hAnsi="Times New Roman"/>
          <w:sz w:val="24"/>
          <w:szCs w:val="24"/>
        </w:rPr>
        <w:t xml:space="preserve">Ciclo de aprendizagem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0"/>
        <w:gridCol w:w="3829"/>
        <w:gridCol w:w="1800"/>
        <w:gridCol w:w="2000"/>
      </w:tblGrid>
      <w:tr>
        <w:trPr>
          <w:cantSplit w:val="1"/>
          <w:tblHeader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Atividades no Plano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Quando</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Produto</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Planejar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Partes 1 e 2, complementos e pesquisa de linha de base para confirmar o insight e definir as linhas de base</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Antes da campanha e de S1 a S3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Plano aprovado e linhas de base</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Executar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Ondas Lançar, Sustentar e Converter, com as sete ações integradas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S12</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Ações no ar e registro de decisões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Medir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semanal; pontos de controle em S6 e S9; pesquisa pós</w:t>
              <w:noBreakHyphen/>
              <w:t xml:space="preserve">campanha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S13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atualizado e atas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Aprender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Relatório final com resultado, interpretação, aprendizado e próximos passos; decisão sobre cada 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Recomendação para a próxima rodada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18 – </w:t>
      </w:r>
      <w:r>
        <w:rPr>
          <w:rFonts w:ascii="Times New Roman" w:cs="Times New Roman" w:eastAsia="Times New Roman" w:hAnsi="Times New Roman"/>
          <w:sz w:val="24"/>
          <w:szCs w:val="24"/>
        </w:rPr>
        <w:t xml:space="preserve">Critérios para manter, ajustar, escalar ou encerrar cada 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4229"/>
        <w:gridCol w:w="35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Critério</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Efeito na Próxima Rodada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Manter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da ação entre 100% e 119% da meta, com contribuição visível para o painel, ou a partir de 120% com custo dentro do previsto, mas sem efeito nos indicadores 3, 4 ou 5</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Mesmo formato e mesma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Ajustar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entre 70% e 99% da meta (ou abaixo de 70% na primeira leitura), ou resultado bom com custo acima do previsto</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Muda criativo, segmentação, oferta ou cidade, sem aumentar 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Escalar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a partir de 120% da meta, custo por resultado dentro do previsto e efeito nos indicadores 3, 4 ou 5</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a reserva de mídia e é levada a novas cidades ou públicos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Encerrar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abaixo de 70% da meta em duas leituras seguidas após ajuste, ou risco à essência e à reputação (por exemplo, queda da associação com “superar limites”)</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É interrompida; a verba vai para a ação mais eficiente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Faixas percentuais estimadas pelo grupo.</w:t>
      </w:r>
    </w:p>
    <w:p>
      <w:pPr>
        <w:keepNext w:val="1"/>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Como o Resultado Alimenta a Próxima Rodada:</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e conversão sobem (indicadores 3 a 5):</w:t>
      </w:r>
      <w:r>
        <w:rPr>
          <w:rFonts w:ascii="Times New Roman" w:cs="Times New Roman" w:eastAsia="Times New Roman" w:hAnsi="Times New Roman"/>
          <w:sz w:val="24"/>
          <w:szCs w:val="24"/>
        </w:rPr>
        <w:t xml:space="preserve"> nesse caso, o insight se confirma, e a próxima rodada leva a campanha a mais cidades e estende o seu período, por exemplo, para um semestre letivo completo.</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sobe, mas a conversão não:</w:t>
      </w:r>
      <w:r>
        <w:rPr>
          <w:rFonts w:ascii="Times New Roman" w:cs="Times New Roman" w:eastAsia="Times New Roman" w:hAnsi="Times New Roman"/>
          <w:sz w:val="24"/>
          <w:szCs w:val="24"/>
        </w:rPr>
        <w:t xml:space="preserve"> isso mostra que a barreira está na compra. Por isso, a próxima rodada concentra a verba no PDV e nos aplicativos (A5 e A6) e revisa o preço e a disponibilidade.</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não muda:</w:t>
      </w:r>
      <w:r>
        <w:rPr>
          <w:rFonts w:ascii="Times New Roman" w:cs="Times New Roman" w:eastAsia="Times New Roman" w:hAnsi="Times New Roman"/>
          <w:sz w:val="24"/>
          <w:szCs w:val="24"/>
        </w:rPr>
        <w:t xml:space="preserve"> isso significa que o insight não se confirmou. Assim, voltamos ao diagnóstico (Parte 1) e fazemos uma pesquisa qualitativa com o público antes de investir de novo.</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Essência em risco (a associação com “superar limites” cai):</w:t>
      </w:r>
      <w:r>
        <w:rPr>
          <w:rFonts w:ascii="Times New Roman" w:cs="Times New Roman" w:eastAsia="Times New Roman" w:hAnsi="Times New Roman"/>
          <w:sz w:val="24"/>
          <w:szCs w:val="24"/>
        </w:rPr>
        <w:t xml:space="preserve"> a narrativa deve ser reequilibrada, aproximando as conquistas diárias dos códigos de performance da marca.</w:t>
      </w:r>
    </w:p>
    <w:p>
      <w:pPr>
        <w:numPr>
          <w:ilvl w:val="0"/>
          <w:numId w:val="3"/>
        </w:numPr>
        <w:spacing w:before="0" w:after="6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Atualização do diagnóstico:</w:t>
      </w:r>
      <w:r>
        <w:rPr>
          <w:rFonts w:ascii="Times New Roman" w:cs="Times New Roman" w:eastAsia="Times New Roman" w:hAnsi="Times New Roman"/>
          <w:sz w:val="24"/>
          <w:szCs w:val="24"/>
        </w:rPr>
        <w:t xml:space="preserve"> os dados obtidos pela própria campanha passam a substituir hipóteses na seção de Evidências e Hipóteses da Parte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19 – </w:t>
      </w:r>
      <w:r>
        <w:rPr>
          <w:rFonts w:ascii="Times New Roman" w:cs="Times New Roman" w:eastAsia="Times New Roman" w:hAnsi="Times New Roman"/>
          <w:sz w:val="24"/>
          <w:szCs w:val="24"/>
        </w:rPr>
        <w:t xml:space="preserve">Hipóteses da Parte 1 testadas pelo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00"/>
        <w:gridCol w:w="3229"/>
        <w:gridCol w:w="2900"/>
      </w:tblGrid>
      <w:tr>
        <w:trPr>
          <w:cantSplit w:val="1"/>
          <w:tblHeader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Hipótese da Parte 1</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o Plano Testa</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Leitura do Resultado</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Consumidores pagam mais pelo estilo de vida associado à marca do que pelos ingredientes do produto.</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Compara a conversão sem desconto no PDV (A5) com a conversão com cupom nos aplicativos (A6).</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o PDV converte sem desconto, a hipótese se fortalece. Se só o cupom converte, o preço pesa mais que o significado da marca.</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ecossistema de conteúdo gera alcance orgânico suficiente para reduzir a dependência de publicidade tradicional.</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a parcela do alcance de A1 e A3 que vem de conteúdo feito pelos usuários, compartilhamentos e imprensa, em relação ao alcance pago.</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a parcela orgânica chegar a 30% do alcance total (estimativa do grupo), a próxima rodada reduz a mídia paga.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FECHAMENTO DO PLANO</w:t>
      </w: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Checklist Final de Coerência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20 – </w:t>
      </w:r>
      <w:r>
        <w:rPr>
          <w:rFonts w:ascii="Times New Roman" w:cs="Times New Roman" w:eastAsia="Times New Roman" w:hAnsi="Times New Roman"/>
          <w:i w:val="1"/>
          <w:iCs w:val="1"/>
          <w:sz w:val="24"/>
          <w:szCs w:val="24"/>
        </w:rPr>
        <w:t xml:space="preserve">Checklist</w:t>
      </w:r>
      <w:r>
        <w:rPr>
          <w:rFonts w:ascii="Times New Roman" w:cs="Times New Roman" w:eastAsia="Times New Roman" w:hAnsi="Times New Roman"/>
          <w:sz w:val="24"/>
          <w:szCs w:val="24"/>
        </w:rPr>
        <w:t xml:space="preserve"> final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1300"/>
        <w:gridCol w:w="4729"/>
      </w:tblGrid>
      <w:tr>
        <w:trPr>
          <w:cantSplit w:val="1"/>
          <w:tblHeader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Atendida?</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e Onde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O problema ou oportunidade de comunicação está claro?</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3 e complemento A: a associação exclusiva a esportes radicais afasta o público funcional, e o insight explica por quê.</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O público prioritário foi definido com precisão?</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trabalhadores remotos e profissionais do conhecimento de 18 a 35 anos (Parte 2), com tamanho estimado no complemento A. A seção 4 descreve o público amplo (18 a 45 anos); o prioritário é o recorte de 18 a 35 anos.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O objetivo de comunicação é mensurável?</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Complemento B (fórmula com prazo de três meses) e indicadores 3 e 4 do painel, com linha de base e meta.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Posicionamento e mensagem central estão coerentes?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declaração (C), as provas (D) e a </w:t>
            </w:r>
            <w:r>
              <w:rPr>
                <w:rFonts w:ascii="Times New Roman" w:cs="Times New Roman" w:eastAsia="Times New Roman" w:hAnsi="Times New Roman"/>
                <w:i w:val="1"/>
                <w:iCs w:val="1"/>
                <w:sz w:val="24"/>
                <w:szCs w:val="24"/>
              </w:rPr>
              <w:t xml:space="preserve">big idea</w:t>
            </w:r>
            <w:r>
              <w:rPr>
                <w:rFonts w:ascii="Times New Roman" w:cs="Times New Roman" w:eastAsia="Times New Roman" w:hAnsi="Times New Roman"/>
                <w:sz w:val="24"/>
                <w:szCs w:val="24"/>
              </w:rPr>
              <w:t xml:space="preserve"> (8) partem do posicionamento “Combustível de Performance Intelectual e Criativa” e da mensagem “Asas para as suas conquistas diárias”.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Os canais têm função na jornada?</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Matriz jornada–canais (E), Figura 1 e Quadro 7: cada canal tem uma função e uma etapa.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 As ações estão ligadas aos objetivos?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Sete ações (Quadro 10 e Quadro 11), cada uma com motivo para existir, KPI e ligação com o painel; ver o Quadro 21 (rastreabilidade).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Cronograma, recursos e responsáveis são viáveis?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 com premissas declaradas</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Ondas em 13 semanas, cronograma semanal, governança com riscos e orçamento fictício de R$ 3,75 milhões (seções 11 e 12).</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 Os indicadores permitem avaliar e decidir?</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com seis indicadores, linha de base, meta, fonte, frequência e decisão (seção 13); critérios de decisão por ação (seção 14).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 </w:t>
      </w:r>
      <w:r>
        <w:rPr>
          <w:rFonts w:ascii="Times New Roman" w:cs="Times New Roman" w:eastAsia="Times New Roman" w:hAnsi="Times New Roman"/>
          <w:i w:val="1"/>
          <w:iCs w:val="1"/>
          <w:sz w:val="20"/>
          <w:szCs w:val="20"/>
        </w:rPr>
        <w:t xml:space="preserve">checklist</w:t>
      </w:r>
      <w:r>
        <w:rPr>
          <w:rFonts w:ascii="Times New Roman" w:cs="Times New Roman" w:eastAsia="Times New Roman" w:hAnsi="Times New Roman"/>
          <w:sz w:val="20"/>
          <w:szCs w:val="20"/>
        </w:rPr>
        <w:t xml:space="preserve"> de Souza (2026c).</w:t>
      </w:r>
    </w:p>
    <w:p>
      <w:pPr>
        <w:spacing w:before="0" w:after="0" w:line="240" w:lineRule="auto"/>
        <w:rPr>
          <w:sz w:val="2"/>
          <w:szCs w:val="2"/>
        </w:rPr>
        <w:sectPr>
          <w:pgSz w:w="11909" w:h="16834" w:orient="portrait"/>
          <w:pgMar w:bottom="1440" w:top="1440" w:left="1440" w:right="1440" w:header="1134" w:footer="720"/>
        </w:sectPr>
      </w:pPr>
    </w:p>
    <w:p>
      <w:pPr>
        <w:keepNext w:val="1"/>
        <w:spacing w:before="240" w:after="160" w:line="276" w:lineRule="auto"/>
        <w:outlineLvl w:val="1"/>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Rastreabilidade (Regra de Ouro)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 o Quadro 21, buscamos mostrar que nenhuma ação aparece sem justificativa na etapa anterior, uma vez que cada linha parte de uma faceta do problema de comunicação e chega a um indicador do painel (SOUZA, 2026a).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21 – </w:t>
      </w:r>
      <w:r>
        <w:rPr>
          <w:rFonts w:ascii="Times New Roman" w:cs="Times New Roman" w:eastAsia="Times New Roman" w:hAnsi="Times New Roman"/>
          <w:sz w:val="24"/>
          <w:szCs w:val="24"/>
        </w:rPr>
        <w:t xml:space="preserve">Rastreabilidade: do problema ao indicador</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00"/>
        <w:gridCol w:w="2000"/>
        <w:gridCol w:w="2000"/>
        <w:gridCol w:w="1800"/>
        <w:gridCol w:w="1500"/>
        <w:gridCol w:w="2354"/>
      </w:tblGrid>
      <w:tr>
        <w:trPr>
          <w:cantSplit w:val="1"/>
          <w:tblHeader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Problema (Faceta)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 e Insight</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Objetivo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 (KPI → Painel)</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Associação exclusiva a esportes radicais e adrenalina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frio: “minhas conquistas ninguém vê; não me vejo como radical”</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a associação a foco, estudo e trabalho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 “Asas para as suas conquistas diárias”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TikTok, Reels, Shorts e YouTube</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Transmissões do Dia a Dia</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Alcance qualificado e retenção → painel 1, 2 e 3</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Dúvida sobre uso, composição e segurança; comparação com o café</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quer energia na medida para o que importa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Transformar interesse em consideração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conquista de hoje tem método”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no site,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e </w:t>
            </w:r>
            <w:r>
              <w:rPr>
                <w:rFonts w:ascii="Times New Roman" w:cs="Times New Roman" w:eastAsia="Times New Roman" w:hAnsi="Times New Roman"/>
                <w:i w:val="1"/>
                <w:iCs w:val="1"/>
                <w:sz w:val="24"/>
                <w:szCs w:val="24"/>
              </w:rPr>
              <w:t xml:space="preserve">remarketing</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Hub Modo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Clique para compra → painel 4 e 5</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Percepção de que o produto não é para gente como o público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precisa se ver em pessoas parecidas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Dar credibilidade à marca no novo posicionamento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“Gente como você, voos como os seus”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 feito pelos usuários, </w:t>
            </w:r>
            <w:r>
              <w:rPr>
                <w:rFonts w:ascii="Times New Roman" w:cs="Times New Roman" w:eastAsia="Times New Roman" w:hAnsi="Times New Roman"/>
                <w:i w:val="1"/>
                <w:iCs w:val="1"/>
                <w:sz w:val="24"/>
                <w:szCs w:val="24"/>
              </w:rPr>
              <w:t xml:space="preserve">stories</w:t>
            </w:r>
            <w:r>
              <w:rPr>
                <w:rFonts w:ascii="Times New Roman" w:cs="Times New Roman" w:eastAsia="Times New Roman" w:hAnsi="Times New Roman"/>
                <w:sz w:val="24"/>
                <w:szCs w:val="24"/>
              </w:rPr>
              <w:t xml:space="preserve"> e imprensa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A3 Conquistas Reais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e sentimento → painel 3 e 4</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Falta de experiência com o produto no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e usuários de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em semanas de provas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Gerar experimentação e primeira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pausa estratégica antes do próximo voo”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Ativação presencial e cupom no aplicativo</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A4 Pausa com Asas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Resgate do cupom → painel 5</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e concorrência no PDV</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na rota do campus e do </w:t>
            </w:r>
            <w:r>
              <w:rPr>
                <w:rFonts w:ascii="Times New Roman" w:cs="Times New Roman" w:eastAsia="Times New Roman" w:hAnsi="Times New Roman"/>
                <w:i w:val="1"/>
                <w:iCs w:val="1"/>
                <w:sz w:val="24"/>
                <w:szCs w:val="24"/>
              </w:rPr>
              <w:t xml:space="preserve">coworking</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consideração em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próximo voo: a entrega de hoje”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Geladeira e materiais de PDV</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A5 Seu Próximo Voo (PDV)</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em relação às lojas</w:t>
              <w:noBreakHyphen/>
              <w:t xml:space="preserve">controle → painel 5</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momento de foco acontece em casa e a compra precisa ser fácil</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Quem estuda ou trabalha em casa (EaD e trabalho remoto)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Facilitar compra e recompra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combo de foco chega antes do prazo”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e Rappi</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A6 Combo Momento de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Pedidos e recompra em 30 dias → painel 5 e 6</w:t>
            </w:r>
          </w:p>
        </w:tc>
      </w:tr>
      <w:tr>
        <w:trPr>
          <w:cantSplit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Uso pontual; marca esquecida entre os picos de demanda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Clientes e interessados com consentimento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a associação e reativar o consumo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“Registre seus voos da semana”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WhatsApp e e</w:t>
              <w:noBreakHyphen/>
              <w:t xml:space="preserve">mail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A7 Diário de Bordo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ativa e recompra de membros →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spacing w:before="8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Leitura Vertical:</w:t>
      </w:r>
      <w:r>
        <w:rPr>
          <w:rFonts w:ascii="Times New Roman" w:cs="Times New Roman" w:eastAsia="Times New Roman" w:hAnsi="Times New Roman"/>
          <w:sz w:val="24"/>
          <w:szCs w:val="24"/>
        </w:rPr>
        <w:t xml:space="preserve"> lendo o quadro por colunas, é possível ver que todas as facetas vêm do diagnóstico feito nas Partes 1 e 2 (evidências, problema de comunicação, jornada e alternativas de mercado), detalhado nos complementos A e E, e que todos os públicos são recortes do público prioritário da Parte 2. Da mesma forma, todos os objetivos são desdobramentos do objetivo de comunicação (complemento B), e todas as mensagens são desdobramentos da mensagem central. Além disso, cada um dos seis indicadores do painel é alimentado por pelo menos uma ação.</w:t>
      </w:r>
    </w:p>
    <w:p>
      <w:pPr>
        <w:spacing w:before="0" w:after="0" w:line="240" w:lineRule="auto"/>
        <w:rPr>
          <w:sz w:val="2"/>
          <w:szCs w:val="2"/>
        </w:rPr>
        <w:sectPr>
          <w:pgSz w:w="16834" w:h="11909" w:orient="landscape"/>
          <w:pgMar w:bottom="1440" w:top="1440" w:left="1440" w:right="1440" w:header="1134" w:footer="720"/>
        </w:sectPr>
      </w:pPr>
    </w:p>
    <w:p>
      <w:pPr>
        <w:spacing w:before="0" w:after="360" w:line="276" w:lineRule="auto"/>
        <w:jc w:val="center"/>
        <w:outlineLvl w:val="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REFERÊNCIAS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BRASIL. </w:t>
      </w:r>
      <w:r>
        <w:rPr>
          <w:rFonts w:ascii="Times New Roman" w:cs="Times New Roman" w:eastAsia="Times New Roman" w:hAnsi="Times New Roman"/>
          <w:b w:val="1"/>
          <w:bCs w:val="1"/>
          <w:sz w:val="24"/>
          <w:szCs w:val="24"/>
        </w:rPr>
        <w:t xml:space="preserve">Brasil tem mais alunos em cursos a distância que em presenciais.</w:t>
      </w:r>
      <w:r>
        <w:rPr>
          <w:rFonts w:ascii="Times New Roman" w:cs="Times New Roman" w:eastAsia="Times New Roman" w:hAnsi="Times New Roman"/>
          <w:sz w:val="24"/>
          <w:szCs w:val="24"/>
        </w:rPr>
        <w:t xml:space="preserve"> Brasília: EBC, set. 2025. Disponível em: https://agenciabrasil.ebc.com.br/educacao/noticia/2025-09/brasil-tem-mais-alunos-em-cursos-distancia-que-em-presenciais.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CANALTECH. </w:t>
      </w:r>
      <w:r>
        <w:rPr>
          <w:rFonts w:ascii="Times New Roman" w:cs="Times New Roman" w:eastAsia="Times New Roman" w:hAnsi="Times New Roman"/>
          <w:b w:val="1"/>
          <w:bCs w:val="1"/>
          <w:sz w:val="24"/>
          <w:szCs w:val="24"/>
        </w:rPr>
        <w:t xml:space="preserve">Red Bull abre inscrições para competição mundial de inovação com IA.</w:t>
      </w:r>
      <w:r>
        <w:rPr>
          <w:rFonts w:ascii="Times New Roman" w:cs="Times New Roman" w:eastAsia="Times New Roman" w:hAnsi="Times New Roman"/>
          <w:sz w:val="24"/>
          <w:szCs w:val="24"/>
        </w:rPr>
        <w:t xml:space="preserve"> [S. l.]: Canaltech, [2024?]. Disponível em: https://canaltech.com.br/carreira/red-bull-abre-inscricoes-para-competicao-mundial-de-inovacao-com-ia/.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GIRONEWS. </w:t>
      </w:r>
      <w:r>
        <w:rPr>
          <w:rFonts w:ascii="Times New Roman" w:cs="Times New Roman" w:eastAsia="Times New Roman" w:hAnsi="Times New Roman"/>
          <w:b w:val="1"/>
          <w:bCs w:val="1"/>
          <w:sz w:val="24"/>
          <w:szCs w:val="24"/>
        </w:rPr>
        <w:t xml:space="preserve">Baly Brasil ultrapassa Red Bull e assume vice-liderança no mercado nacional de energéticos.</w:t>
      </w:r>
      <w:r>
        <w:rPr>
          <w:rFonts w:ascii="Times New Roman" w:cs="Times New Roman" w:eastAsia="Times New Roman" w:hAnsi="Times New Roman"/>
          <w:sz w:val="24"/>
          <w:szCs w:val="24"/>
        </w:rPr>
        <w:t xml:space="preserve"> [S. l.]: GiroNews, 2025. Disponível em: https://gironews.com/informacoes-de-fornecedores/baly-brasil-ultrapassa-red-bull-e-assume-vice-lideranca-no-mercado-nacional-de-energeticos/.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PODER360. </w:t>
      </w:r>
      <w:r>
        <w:rPr>
          <w:rFonts w:ascii="Times New Roman" w:cs="Times New Roman" w:eastAsia="Times New Roman" w:hAnsi="Times New Roman"/>
          <w:b w:val="1"/>
          <w:bCs w:val="1"/>
          <w:sz w:val="24"/>
          <w:szCs w:val="24"/>
        </w:rPr>
        <w:t xml:space="preserve">Brasil tinha 9,5 milhões de pessoas em trabalho remoto em 2022, diz IBGE.</w:t>
      </w:r>
      <w:r>
        <w:rPr>
          <w:rFonts w:ascii="Times New Roman" w:cs="Times New Roman" w:eastAsia="Times New Roman" w:hAnsi="Times New Roman"/>
          <w:sz w:val="24"/>
          <w:szCs w:val="24"/>
        </w:rPr>
        <w:t xml:space="preserve"> Brasília: Poder360, out. 2023. Disponível em: https://www.poder360.com.br/pesquisas/brasil-tinha-95-milhoes-de-pessoas-em-trabalho-remoto-em-2022-diz-ibge/.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many cans does Red Bull sell worldwide?</w:t>
      </w:r>
      <w:r>
        <w:rPr>
          <w:rFonts w:ascii="Times New Roman" w:cs="Times New Roman" w:eastAsia="Times New Roman" w:hAnsi="Times New Roman"/>
          <w:sz w:val="24"/>
          <w:szCs w:val="24"/>
        </w:rPr>
        <w:t xml:space="preserve"> [S. l.]: Red Bull, [2026]. Disponível em: https://www.redbull.com/int-en/energydrink/questions/how-many-cans-does-red-bull-sell-world-wide.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much caffeine is in a can of Red Bull Energy Drink?</w:t>
      </w:r>
      <w:r>
        <w:rPr>
          <w:rFonts w:ascii="Times New Roman" w:cs="Times New Roman" w:eastAsia="Times New Roman" w:hAnsi="Times New Roman"/>
          <w:sz w:val="24"/>
          <w:szCs w:val="24"/>
        </w:rPr>
        <w:t xml:space="preserve"> [S. l.]: Red Bull, [20--]. Disponível em: https://www.redbull.com/int-en/energydrink/questions/how-much-caffeine-is-in-a-can-of-red-bull-energy-drink.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Integrada de Marketing:</w:t>
      </w:r>
      <w:r>
        <w:rPr>
          <w:rFonts w:ascii="Times New Roman" w:cs="Times New Roman" w:eastAsia="Times New Roman" w:hAnsi="Times New Roman"/>
          <w:sz w:val="24"/>
          <w:szCs w:val="24"/>
        </w:rPr>
        <w:t xml:space="preserve"> atividade consolidada das três partes da aula. Cuiabá: UFMT, 2026a.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Aula 2 – arquitetura do plano. Cuiabá: UFMT, 2026b.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Parte 3 – execução e mensuração. Cuiabá: UFMT, 2026c. Material de aula (apresentação de slides).</w:t>
      </w:r>
    </w:p>
    <w:sectPr>
      <w:pgSz w:h="16834" w:w="11909" w:orient="portrait"/>
      <w:pgMar w:bottom="1440" w:top="1440" w:left="1440" w:right="1440" w:header="1134"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w="http://schemas.openxmlformats.org/wordprocessingml/2006/main" xmlns:r="http://schemas.openxmlformats.org/officeDocument/2006/relationships">
  <w:p>
    <w:pPr>
      <w:jc w:val="right"/>
      <w:rPr>
        <w:rFonts w:ascii="Times New Roman" w:cs="Times New Roman" w:eastAsia="Times New Roman" w:hAnsi="Times New Roman"/>
        <w:sz w:val="20"/>
        <w:szCs w:val="20"/>
      </w:rPr>
    </w:pPr>
    <w:fldSimple w:instr=" PAGE ">
      <w:r>
        <w:rPr>
          <w:rFonts w:ascii="Times New Roman" w:cs="Times New Roman" w:eastAsia="Times New Roman" w:hAnsi="Times New Roman"/>
          <w:sz w:val="20"/>
          <w:szCs w:val="20"/>
        </w:rPr>
        <w:t>3</w:t>
      </w:r>
    </w:fldSimple>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4"/>
        <w:lang w:val="pt-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101" Type="http://schemas.openxmlformats.org/officeDocument/2006/relationships/header" Target="header1.xml"/><Relationship Id="rId100" Type="http://schemas.openxmlformats.org/officeDocument/2006/relationships/image" Target="media/figur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