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7365D"/>
          <w:sz w:val="44"/>
        </w:rPr>
        <w:t>DESENVOLVIMENTO DE TELAS DE SUPERVISÓRIO</w:t>
      </w:r>
    </w:p>
    <w:p>
      <w:pPr>
        <w:jc w:val="center"/>
      </w:pPr>
      <w:r>
        <w:rPr>
          <w:b/>
          <w:color w:val="1F4E79"/>
          <w:sz w:val="30"/>
        </w:rPr>
        <w:t>Resumo didático baseado na ISA-101 para o Projeto ETA</w:t>
      </w:r>
    </w:p>
    <w:p>
      <w:pPr>
        <w:jc w:val="center"/>
      </w:pPr>
      <w:r>
        <w:rPr>
          <w:color w:val="7030A0"/>
          <w:sz w:val="22"/>
        </w:rPr>
        <w:t>Automação Industrial • HMI • Supervisório • Alarmes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b/>
                <w:color w:val="17365D"/>
                <w:sz w:val="21"/>
              </w:rPr>
              <w:t>NORMA PRINCIPAL</w:t>
              <w:br/>
            </w:r>
            <w:r>
              <w:rPr>
                <w:sz w:val="20"/>
              </w:rPr>
              <w:t>ANSI/ISA-101.01-2015 – Human Machine Interfaces for Process Automation Systems. Ela orienta o projeto, a implementação, a operação e a manutenção de interfaces homem-máquina (HMI) em sistemas de automação de processos.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i/>
          <w:sz w:val="21"/>
        </w:rPr>
        <w:t>Aplicação didática: Estação de Tratamento de Água (ETA) por batelada</w:t>
      </w:r>
    </w:p>
    <w:p>
      <w:r>
        <w:br w:type="page"/>
      </w:r>
    </w:p>
    <w:p>
      <w:pPr>
        <w:pStyle w:val="Heading1"/>
      </w:pPr>
      <w:r>
        <w:t>1. O que é uma HMI ou tela de supervisório?</w:t>
      </w:r>
    </w:p>
    <w:p>
      <w:pPr>
        <w:spacing w:after="100" w:line="259" w:lineRule="auto"/>
      </w:pPr>
      <w:r>
        <w:t>HMI significa Human-Machine Interface (Interface Homem-Máquina). É a interface usada pelo operador para observar o processo, identificar condições anormais e, quando autorizado, enviar comandos ao sistema de automação.</w:t>
      </w:r>
    </w:p>
    <w:p>
      <w:pPr>
        <w:spacing w:after="100" w:line="259" w:lineRule="auto"/>
      </w:pPr>
      <w:r>
        <w:t>No projeto da ETA, o supervisório BluePlant recebe informações do CLP Altus e apresenta ao operador dados das etapas de Captação, Armazenamento, Tratamento e Distribuição.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r>
              <w:rPr>
                <w:b/>
                <w:color w:val="17365D"/>
                <w:sz w:val="21"/>
              </w:rPr>
              <w:t>Ideia-chave para o aluno</w:t>
              <w:br/>
            </w:r>
            <w:r>
              <w:rPr>
                <w:sz w:val="20"/>
              </w:rPr>
              <w:t>Uma boa tela não deve apenas ficar bonita. Ela deve ajudar o operador a entender rapidamente o estado do processo e agir corretamente.</w:t>
            </w:r>
          </w:p>
        </w:tc>
      </w:tr>
    </w:tbl>
    <w:p>
      <w:pPr>
        <w:spacing w:after="20"/>
      </w:pPr>
    </w:p>
    <w:p>
      <w:pPr>
        <w:pStyle w:val="Heading1"/>
      </w:pPr>
      <w:r>
        <w:t>2. Qual norma usar?</w:t>
      </w:r>
    </w:p>
    <w:p>
      <w:pPr>
        <w:spacing w:after="100" w:line="259" w:lineRule="auto"/>
      </w:pPr>
      <w:r>
        <w:t>A principal referência para desenvolvimento das telas é a ANSI/ISA-101.01-2015 – Human Machine Interfaces for Process Automation Systems.</w:t>
      </w:r>
    </w:p>
    <w:p>
      <w:pPr>
        <w:spacing w:after="100" w:line="259" w:lineRule="auto"/>
      </w:pPr>
      <w:r>
        <w:t>A série ISA-101 orienta a criação de HMIs mais seguras, consistentes e eficientes, buscando melhorar a percepção do operador, reduzir erros e aumentar a qualidade, a produtividade e a confiabilidade do processo.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Assunto</w:t>
            </w:r>
          </w:p>
        </w:tc>
        <w:tc>
          <w:tcPr>
            <w:tcW w:type="dxa" w:w="34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 no projeto ETA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ANSI/ISA-101.01-2015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Projeto e ciclo de vida de HMI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Referência principal para as telas do BluePlant.</w:t>
            </w:r>
          </w:p>
        </w:tc>
      </w:tr>
      <w:tr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ISA-TR101.01-2022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Filosofia de HMI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Ajuda a definir padrões de cores, símbolos, navegação e telas.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ISA-TR101.02-2019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Usabilidade e desempenho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Apoia avaliação e melhoria da interface.</w:t>
            </w:r>
          </w:p>
        </w:tc>
      </w:tr>
      <w:tr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ANSI/ISA-18.2-2016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Gerenciamento de alarmes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Referência para alarmes do supervisório.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IEC 62682:2022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Gerenciamento de sistemas de alarme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Referência internacional complementar para alarmes.</w:t>
            </w:r>
          </w:p>
        </w:tc>
      </w:tr>
    </w:tbl>
    <w:p>
      <w:pPr>
        <w:pStyle w:val="Heading1"/>
      </w:pPr>
      <w:r>
        <w:t>3. Princípios importantes da ISA-101</w:t>
      </w:r>
    </w:p>
    <w:p>
      <w:pPr>
        <w:pStyle w:val="Heading2"/>
      </w:pPr>
      <w:r>
        <w:t>3.1 Clareza</w:t>
      </w:r>
    </w:p>
    <w:p>
      <w:pPr>
        <w:spacing w:after="100" w:line="259" w:lineRule="auto"/>
      </w:pPr>
      <w:r>
        <w:t>A tela deve mostrar somente as informações necessárias para aquela função. Excesso de objetos, textos e efeitos visuais dificulta a leitura.</w:t>
      </w:r>
    </w:p>
    <w:p>
      <w:pPr>
        <w:pStyle w:val="Heading2"/>
      </w:pPr>
      <w:r>
        <w:t>3.2 Consistência</w:t>
      </w:r>
    </w:p>
    <w:p>
      <w:pPr>
        <w:spacing w:after="100" w:line="259" w:lineRule="auto"/>
      </w:pPr>
      <w:r>
        <w:t>Bombas, válvulas, tanques, instrumentos, botões e alarmes devem seguir o mesmo padrão gráfico em todas as telas. Um mesmo estado não deve ser representado de maneiras diferentes.</w:t>
      </w:r>
    </w:p>
    <w:p>
      <w:pPr>
        <w:pStyle w:val="Heading2"/>
      </w:pPr>
      <w:r>
        <w:t>3.3 Hierarquia de telas</w:t>
      </w:r>
    </w:p>
    <w:p>
      <w:pPr>
        <w:spacing w:after="100" w:line="259" w:lineRule="auto"/>
      </w:pPr>
      <w:r>
        <w:t>O operador deve começar por uma visão geral e navegar para telas mais detalhadas somente quando precisar investigar uma etapa ou equipamento.</w:t>
      </w:r>
    </w:p>
    <w:p>
      <w:pPr>
        <w:pStyle w:val="Heading2"/>
      </w:pPr>
      <w:r>
        <w:t>3.4 Cores com função</w:t>
      </w:r>
    </w:p>
    <w:p>
      <w:pPr>
        <w:spacing w:after="100" w:line="259" w:lineRule="auto"/>
      </w:pPr>
      <w:r>
        <w:t>Evite usar cores fortes apenas para decorar. A filosofia de HMI deve definir quando uma cor será usada e qual informação ela representa. Condições anormais e informações que exigem atenção devem se destacar mais do que situações normais.</w:t>
      </w:r>
    </w:p>
    <w:p>
      <w:pPr>
        <w:pStyle w:val="Heading2"/>
      </w:pPr>
      <w:r>
        <w:t>3.5 Informação antes da decoração</w:t>
      </w:r>
    </w:p>
    <w:p>
      <w:pPr>
        <w:spacing w:after="100" w:line="259" w:lineRule="auto"/>
      </w:pPr>
      <w:r>
        <w:t>Sombras, gradientes, animações e desenhos 3D podem ser úteis em materiais didáticos, mas uma tela operacional deve priorizar leitura rápida, valores de processo, tendências, alarmes e estados dos equipamentos.</w:t>
      </w:r>
    </w:p>
    <w:p>
      <w:pPr>
        <w:pStyle w:val="Heading1"/>
      </w:pPr>
      <w:r>
        <w:t>4. Hierarquia de telas sugerida para a 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Tela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Conteúdo principal</w:t>
            </w:r>
          </w:p>
        </w:tc>
        <w:tc>
          <w:tcPr>
            <w:tcW w:type="dxa" w:w="34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 Visão Geral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Captação, Armazenamento, Tratamento e Distribuição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Entender rapidamente o estado global da ETA.</w:t>
            </w:r>
          </w:p>
        </w:tc>
      </w:tr>
      <w:tr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 Captação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Bombas 1, 2 e 3, revezamento e nível do armazenamento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Acompanhar a entrada de água.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3. Armazenamento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LT, níveis alto/baixo, FT e bomba de escoamento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Monitorar nível, vazão e saturação da grade.</w:t>
            </w:r>
          </w:p>
        </w:tc>
      </w:tr>
      <w:tr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 Tratamento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Dosagens, misturador, pureza, nível, lodo e bomba de escoamento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Acompanhar a sequência da batelada.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5. Distribuição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Flúor, cloro, massas dosadas e nível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Acompanhar a etapa final.</w:t>
            </w:r>
          </w:p>
        </w:tc>
      </w:tr>
      <w:tr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6. Alarmes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Alarmes ativos, prioridade, horário e reconhecimento</w:t>
            </w:r>
          </w:p>
        </w:tc>
        <w:tc>
          <w:tcPr>
            <w:tcW w:type="dxa" w:w="34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Facilitar diagnóstico e resposta.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7. Tendências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Nível, vazão, pureza, rotação e demais variáveis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Analisar comportamento ao longo do tempo.</w:t>
            </w:r>
          </w:p>
        </w:tc>
      </w:tr>
    </w:tbl>
    <w:p>
      <w:pPr>
        <w:pStyle w:val="Heading1"/>
      </w:pPr>
      <w:r>
        <w:t>5. Exemplo aplicado ao projeto 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r>
              <w:rPr>
                <w:b/>
                <w:color w:val="17365D"/>
                <w:sz w:val="21"/>
              </w:rPr>
              <w:t>Exemplo: baixa vazão no Armazenamento</w:t>
              <w:br/>
            </w:r>
            <w:r>
              <w:rPr>
                <w:sz w:val="20"/>
              </w:rPr>
              <w:t>Na lógica da ETA, se a vazão de saída do tanque de armazenamento ficar abaixo de 40 L/min, o escoamento deve ser interrompido e o operador deve ser alertado. Na HMI, essa condição deve aparecer de forma clara e destacada, acompanhada de uma mensagem que ajude o operador a identificar a necessidade de verificar a grade.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t>O objetivo é evitar que o operador precise “caçar” o problema na tela. A interface deve favorecer a percepção rápida da condição anormal.</w:t>
      </w:r>
    </w:p>
    <w:p>
      <w:pPr>
        <w:pStyle w:val="Heading1"/>
      </w:pPr>
      <w:r>
        <w:t>6. Alarmes: ISA-18.2 e IEC 62682</w:t>
      </w:r>
    </w:p>
    <w:p>
      <w:pPr>
        <w:spacing w:after="100" w:line="259" w:lineRule="auto"/>
      </w:pPr>
      <w:r>
        <w:t>A ISA-101 trata da HMI, enquanto o gerenciamento de alarmes possui normas específicas. Para o projeto da ETA, as principais referências são ANSI/ISA-18.2-2016 e IEC 62682:2022.</w:t>
      </w:r>
    </w:p>
    <w:p>
      <w:pPr>
        <w:spacing w:after="100" w:line="259" w:lineRule="auto"/>
      </w:pPr>
      <w:r>
        <w:t>Essas referências tratam o alarme como parte de um ciclo de vida. Um alarme deve representar uma condição anormal que exige conhecimento e resposta do operador.</w:t>
      </w:r>
    </w:p>
    <w:p>
      <w:pPr>
        <w:pStyle w:val="ListBullet"/>
        <w:spacing w:after="40"/>
      </w:pPr>
      <w:r>
        <w:t>Definir claramente o que realmente deve ser um alarme.</w:t>
      </w:r>
    </w:p>
    <w:p>
      <w:pPr>
        <w:pStyle w:val="ListBullet"/>
        <w:spacing w:after="40"/>
      </w:pPr>
      <w:r>
        <w:t>Evitar excesso de alarmes sem ação associada.</w:t>
      </w:r>
    </w:p>
    <w:p>
      <w:pPr>
        <w:pStyle w:val="ListBullet"/>
        <w:spacing w:after="40"/>
      </w:pPr>
      <w:r>
        <w:t>Definir prioridade de acordo com consequência e urgência.</w:t>
      </w:r>
    </w:p>
    <w:p>
      <w:pPr>
        <w:pStyle w:val="ListBullet"/>
        <w:spacing w:after="40"/>
      </w:pPr>
      <w:r>
        <w:t>Registrar ocorrência, reconhecimento e retorno à condição normal.</w:t>
      </w:r>
    </w:p>
    <w:p>
      <w:pPr>
        <w:pStyle w:val="ListBullet"/>
        <w:spacing w:after="40"/>
      </w:pPr>
      <w:r>
        <w:t>Avaliar o desempenho do sistema de alarmes ao longo do tempo.</w:t>
      </w:r>
    </w:p>
    <w:p>
      <w:pPr>
        <w:pStyle w:val="Heading1"/>
      </w:pPr>
      <w:r>
        <w:t>7. O que evitar em uma tela de supervisório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C000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Evitar</w:t>
            </w:r>
          </w:p>
        </w:tc>
        <w:tc>
          <w:tcPr>
            <w:tcW w:type="dxa" w:w="5100"/>
            <w:vAlign w:val="center"/>
            <w:shd w:fill="54823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Preferir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Muitas cores sem significado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Cores padronizadas e com função definida</w:t>
            </w:r>
          </w:p>
        </w:tc>
      </w:tr>
      <w:tr>
        <w:tc>
          <w:tcPr>
            <w:tcW w:type="dxa" w:w="51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Tela cheia de detalhes decorativos</w:t>
            </w:r>
          </w:p>
        </w:tc>
        <w:tc>
          <w:tcPr>
            <w:tcW w:type="dxa" w:w="51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Informação relevante e leitura rápida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Símbolos diferentes para o mesmo equipamento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Biblioteca gráfica padronizada</w:t>
            </w:r>
          </w:p>
        </w:tc>
      </w:tr>
      <w:tr>
        <w:tc>
          <w:tcPr>
            <w:tcW w:type="dxa" w:w="51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Alarmes misturados com informações normais</w:t>
            </w:r>
          </w:p>
        </w:tc>
        <w:tc>
          <w:tcPr>
            <w:tcW w:type="dxa" w:w="51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Alarmes destacados e priorizados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Uma única tela com todo o processo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Hierarquia: visão geral → área → detalhe</w:t>
            </w:r>
          </w:p>
        </w:tc>
      </w:tr>
      <w:tr>
        <w:tc>
          <w:tcPr>
            <w:tcW w:type="dxa" w:w="51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Valores sem unidade</w:t>
            </w:r>
          </w:p>
        </w:tc>
        <w:tc>
          <w:tcPr>
            <w:tcW w:type="dxa" w:w="5100"/>
            <w:vAlign w:val="center"/>
            <w:shd w:fill="F3F6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Valor + unidade de engenharia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Navegação confusa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Menus e botões em posições consistentes</w:t>
            </w:r>
          </w:p>
        </w:tc>
      </w:tr>
    </w:tbl>
    <w:p>
      <w:pPr>
        <w:pStyle w:val="Heading1"/>
      </w:pPr>
      <w:r>
        <w:t>8. Checklist rápido para criar uma tela</w:t>
      </w:r>
    </w:p>
    <w:p>
      <w:pPr>
        <w:pStyle w:val="ListBullet"/>
        <w:spacing w:after="40"/>
      </w:pPr>
      <w:r>
        <w:t>Qual é a finalidade desta tela?</w:t>
      </w:r>
    </w:p>
    <w:p>
      <w:pPr>
        <w:pStyle w:val="ListBullet"/>
        <w:spacing w:after="40"/>
      </w:pPr>
      <w:r>
        <w:t>Quais informações o operador realmente precisa enxergar?</w:t>
      </w:r>
    </w:p>
    <w:p>
      <w:pPr>
        <w:pStyle w:val="ListBullet"/>
        <w:spacing w:after="40"/>
      </w:pPr>
      <w:r>
        <w:t>Os valores têm unidade de engenharia?</w:t>
      </w:r>
    </w:p>
    <w:p>
      <w:pPr>
        <w:pStyle w:val="ListBullet"/>
        <w:spacing w:after="40"/>
      </w:pPr>
      <w:r>
        <w:t>Bombas e válvulas usam os mesmos símbolos das outras telas?</w:t>
      </w:r>
    </w:p>
    <w:p>
      <w:pPr>
        <w:pStyle w:val="ListBullet"/>
        <w:spacing w:after="40"/>
      </w:pPr>
      <w:r>
        <w:t>As cores possuem significado definido?</w:t>
      </w:r>
    </w:p>
    <w:p>
      <w:pPr>
        <w:pStyle w:val="ListBullet"/>
        <w:spacing w:after="40"/>
      </w:pPr>
      <w:r>
        <w:t>Os alarmes se destacam das condições normais?</w:t>
      </w:r>
    </w:p>
    <w:p>
      <w:pPr>
        <w:pStyle w:val="ListBullet"/>
        <w:spacing w:after="40"/>
      </w:pPr>
      <w:r>
        <w:t>É possível navegar facilmente para a tela anterior e para a visão geral?</w:t>
      </w:r>
    </w:p>
    <w:p>
      <w:pPr>
        <w:pStyle w:val="ListBullet"/>
        <w:spacing w:after="40"/>
      </w:pPr>
      <w:r>
        <w:t>O operador consegue entender a situação em poucos segundos?</w:t>
      </w:r>
    </w:p>
    <w:p>
      <w:pPr>
        <w:pStyle w:val="ListBullet"/>
        <w:spacing w:after="40"/>
      </w:pPr>
      <w:r>
        <w:t>A tela evita informações desnecessárias?</w:t>
      </w:r>
    </w:p>
    <w:p>
      <w:pPr>
        <w:pStyle w:val="ListBullet"/>
        <w:spacing w:after="40"/>
      </w:pPr>
      <w:r>
        <w:t>O comportamento dos objetos foi testado antes da liberação?</w:t>
      </w:r>
    </w:p>
    <w:p>
      <w:pPr>
        <w:pStyle w:val="Heading1"/>
      </w:pPr>
      <w:r>
        <w:t>9. Atividade para os alunos</w:t>
      </w:r>
    </w:p>
    <w:p>
      <w:pPr>
        <w:spacing w:after="100" w:line="259" w:lineRule="auto"/>
      </w:pPr>
      <w:r>
        <w:t>Escolha uma das quatro etapas da ETA e faça um esboço de tela de supervisório seguindo os princípios estudados.</w:t>
      </w:r>
    </w:p>
    <w:p>
      <w:pPr>
        <w:pStyle w:val="ListBullet"/>
        <w:spacing w:after="40"/>
      </w:pPr>
      <w:r>
        <w:t>Indique os equipamentos principais.</w:t>
      </w:r>
    </w:p>
    <w:p>
      <w:pPr>
        <w:pStyle w:val="ListBullet"/>
        <w:spacing w:after="40"/>
      </w:pPr>
      <w:r>
        <w:t>Mostre pelo menos três variáveis de processo.</w:t>
      </w:r>
    </w:p>
    <w:p>
      <w:pPr>
        <w:pStyle w:val="ListBullet"/>
        <w:spacing w:after="40"/>
      </w:pPr>
      <w:r>
        <w:t>Defina como os estados normal e anormal serão apresentados.</w:t>
      </w:r>
    </w:p>
    <w:p>
      <w:pPr>
        <w:pStyle w:val="ListBullet"/>
        <w:spacing w:after="40"/>
      </w:pPr>
      <w:r>
        <w:t>Inclua pelo menos um alarme coerente com o processo.</w:t>
      </w:r>
    </w:p>
    <w:p>
      <w:pPr>
        <w:pStyle w:val="ListBullet"/>
        <w:spacing w:after="40"/>
      </w:pPr>
      <w:r>
        <w:t>Explique em poucas linhas por que sua tela está de acordo com os princípios da ISA-101.</w:t>
      </w:r>
    </w:p>
    <w:p>
      <w:pPr>
        <w:pStyle w:val="Heading1"/>
      </w:pPr>
      <w:r>
        <w:t>10. Resumo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b/>
                <w:color w:val="17365D"/>
                <w:sz w:val="21"/>
              </w:rPr>
              <w:t>Para lembrar</w:t>
              <w:br/>
            </w:r>
            <w:r>
              <w:rPr>
                <w:sz w:val="20"/>
              </w:rPr>
              <w:t>A principal norma para o desenvolvimento das telas é a ANSI/ISA-101.01-2015. Para alarmes, use como referências a ANSI/ISA-18.2-2016 e a IEC 62682:2022. O foco deve ser sempre clareza, consistência, consciência situacional, boa navegação e destaque adequado das condições anormais.</w:t>
            </w:r>
          </w:p>
        </w:tc>
      </w:tr>
    </w:tbl>
    <w:p>
      <w:pPr>
        <w:spacing w:after="20"/>
      </w:pPr>
    </w:p>
    <w:p>
      <w:pPr>
        <w:pStyle w:val="Heading1"/>
      </w:pPr>
      <w:r>
        <w:t>Referências</w:t>
      </w:r>
    </w:p>
    <w:p>
      <w:pPr>
        <w:pStyle w:val="ListBullet"/>
        <w:spacing w:after="40"/>
      </w:pPr>
      <w:r>
        <w:t>International Society of Automation (ISA). ISA-101 Series of Standards. ISA-101.01-2015 – Human Machine Interfaces for Process Automation Systems.</w:t>
      </w:r>
    </w:p>
    <w:p>
      <w:pPr>
        <w:pStyle w:val="ListBullet"/>
        <w:spacing w:after="40"/>
      </w:pPr>
      <w:r>
        <w:t>International Society of Automation (ISA). ISA-TR101.01-2022 – HMI Philosophy.</w:t>
      </w:r>
    </w:p>
    <w:p>
      <w:pPr>
        <w:pStyle w:val="ListBullet"/>
        <w:spacing w:after="40"/>
      </w:pPr>
      <w:r>
        <w:t>International Society of Automation (ISA). ISA-TR101.02-2019 – HMI Usability and Performance.</w:t>
      </w:r>
    </w:p>
    <w:p>
      <w:pPr>
        <w:pStyle w:val="ListBullet"/>
        <w:spacing w:after="40"/>
      </w:pPr>
      <w:r>
        <w:t>International Society of Automation (ISA). ANSI/ISA-18.2-2016 – Management of Alarm Systems for the Process Industries.</w:t>
      </w:r>
    </w:p>
    <w:p>
      <w:pPr>
        <w:pStyle w:val="ListBullet"/>
        <w:spacing w:after="40"/>
      </w:pPr>
      <w:r>
        <w:t>International Electrotechnical Commission (IEC). IEC 62682:2022 – Management of alarm systems for the process industries.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Material didático – Projeto ETA | Supervisório e HMI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/>
      <w:i/>
      <w:iCs/>
      <w:color w:val="1F4E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40A52A47187141B8A4EA18C1363924" ma:contentTypeVersion="10" ma:contentTypeDescription="Crie um novo documento." ma:contentTypeScope="" ma:versionID="1811f7ca405b275f2a777a1d0606002f">
  <xsd:schema xmlns:xsd="http://www.w3.org/2001/XMLSchema" xmlns:xs="http://www.w3.org/2001/XMLSchema" xmlns:p="http://schemas.microsoft.com/office/2006/metadata/properties" xmlns:ns2="94dab4cf-8c60-41ba-ab32-3924a54b51c3" xmlns:ns3="a026da6e-37d5-4931-939c-b61cf2533d6c" targetNamespace="http://schemas.microsoft.com/office/2006/metadata/properties" ma:root="true" ma:fieldsID="eb8f0997d4991b4728b443eede3fc4df" ns2:_="" ns3:_="">
    <xsd:import namespace="94dab4cf-8c60-41ba-ab32-3924a54b51c3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ab4cf-8c60-41ba-ab32-3924a54b51c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acd3c3a-5d1a-490c-884b-28f5f1cd2149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dab4cf-8c60-41ba-ab32-3924a54b51c3" xsi:nil="true"/>
    <TaxCatchAll xmlns="a026da6e-37d5-4931-939c-b61cf2533d6c" xsi:nil="true"/>
    <lcf76f155ced4ddcb4097134ff3c332f xmlns="94dab4cf-8c60-41ba-ab32-3924a54b51c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4B0027-00E3-497A-A4F7-0A74AAE1E5DC}"/>
</file>

<file path=customXml/itemProps3.xml><?xml version="1.0" encoding="utf-8"?>
<ds:datastoreItem xmlns:ds="http://schemas.openxmlformats.org/officeDocument/2006/customXml" ds:itemID="{B8C2F53B-FE95-47C3-BD37-4B972800AF39}"/>
</file>

<file path=customXml/itemProps4.xml><?xml version="1.0" encoding="utf-8"?>
<ds:datastoreItem xmlns:ds="http://schemas.openxmlformats.org/officeDocument/2006/customXml" ds:itemID="{D0AA1DAE-68D0-4C9C-A5B1-B8D08CCCB3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0x0101001E40A52A47187141B8A4EA18C1363924</vt:lpwstr>
  </property>
</Properties>
</file>