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46"/>
        </w:rPr>
        <w:t>ESTAÇÃO DE TRATAMENTO DE ÁGUA (ETA)</w:t>
      </w:r>
    </w:p>
    <w:p>
      <w:pPr>
        <w:jc w:val="center"/>
      </w:pPr>
      <w:r>
        <w:rPr>
          <w:b/>
          <w:color w:val="1F4E79"/>
          <w:sz w:val="32"/>
        </w:rPr>
        <w:t>Descritivo Técnico da Arquitetura de Automação, Supervisão e IIoT</w:t>
      </w:r>
    </w:p>
    <w:p>
      <w:pPr>
        <w:jc w:val="center"/>
      </w:pPr>
      <w:r>
        <w:rPr>
          <w:i/>
          <w:color w:val="7030A0"/>
          <w:sz w:val="26"/>
        </w:rPr>
        <w:t>Processo por Batelada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4034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da_estação_de_tratamento_de_águ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4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– Arquitetura de automação e integração da ETA.</w:t>
      </w:r>
    </w:p>
    <w:p>
      <w:pPr>
        <w:spacing w:before="360"/>
        <w:jc w:val="center"/>
      </w:pPr>
      <w:r>
        <w:rPr>
          <w:color w:val="222222"/>
          <w:sz w:val="21"/>
        </w:rPr>
        <w:t>Documento consolidado para desenvolvimento do CLP, supervisório, integração IIoT, histórico de dados e dashboards.</w:t>
      </w:r>
    </w:p>
    <w:p>
      <w:pPr>
        <w:pStyle w:val="ETAH1"/>
        <w:spacing w:before="200" w:after="80"/>
      </w:pPr>
      <w:r>
        <w:t>1. Objetivo e escopo</w:t>
      </w:r>
    </w:p>
    <w:p>
      <w:pPr>
        <w:spacing w:after="100" w:line="259" w:lineRule="auto"/>
      </w:pPr>
      <w:r>
        <w:t>Este documento descreve a arquitetura técnica do sistema de automação da Estação de Tratamento de Água (ETA) por batelada, consolidando a base funcional do processo com a arquitetura de supervisão, integração de dados e dashboards definida para o projeto.</w:t>
      </w:r>
    </w:p>
    <w:p>
      <w:pPr>
        <w:spacing w:after="100" w:line="259" w:lineRule="auto"/>
      </w:pPr>
      <w:r>
        <w:t>A base funcional estabelece quatro etapas de processo — Captação, Armazenamento, Tratamento e Distribuição — e define a lógica operacional, os equipamentos principais e os endereços das variáveis do CLP. A camada de arquitetura aqui descrita organiza esses elementos em níveis de processo, controle, supervisão e IIoT.</w:t>
      </w:r>
    </w:p>
    <w:p>
      <w:pPr>
        <w:pStyle w:val="ETAH1"/>
        <w:spacing w:before="200" w:after="80"/>
      </w:pPr>
      <w:r>
        <w:t>2. Visão geral da arquitetura</w:t>
      </w:r>
    </w:p>
    <w:p>
      <w:pPr>
        <w:spacing w:after="100" w:line="259" w:lineRule="auto"/>
      </w:pPr>
      <w:r>
        <w:t>A solução é organizada em duas camadas conceituais. A primeira corresponde à Indústria 3.0 – Supervisão e Controle, responsável pela operação determinística da planta, programação do CLP e supervisão. A segunda corresponde à Indústria 4.0 – IIoT e Integração de Dados, responsável por conectividade OPC UA, integração via Node-RED, histórico em MySQL e dashboards Grafana.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3400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Componentes principais</w:t>
            </w:r>
          </w:p>
        </w:tc>
        <w:tc>
          <w:tcPr>
            <w:tcW w:type="dxa" w:w="3400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Processo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Sensores / Atuadores / ETA física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Medição e atuação sobre o processo.</w:t>
            </w:r>
          </w:p>
        </w:tc>
      </w:tr>
      <w:tr>
        <w:tc>
          <w:tcPr>
            <w:tcW w:type="dxa" w:w="340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Indústria 3.0</w:t>
            </w:r>
          </w:p>
        </w:tc>
        <w:tc>
          <w:tcPr>
            <w:tcW w:type="dxa" w:w="340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CLP Altus, MasterTool, BluePlant</w:t>
            </w:r>
          </w:p>
        </w:tc>
        <w:tc>
          <w:tcPr>
            <w:tcW w:type="dxa" w:w="340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Controle, programação e supervisão.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Indústria 4.0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Node-RED, MySQL, Grafana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Integração, histórico, análise e indicadores.</w:t>
            </w:r>
          </w:p>
        </w:tc>
      </w:tr>
      <w:tr>
        <w:tc>
          <w:tcPr>
            <w:tcW w:type="dxa" w:w="340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Integração superior</w:t>
            </w:r>
          </w:p>
        </w:tc>
        <w:tc>
          <w:tcPr>
            <w:tcW w:type="dxa" w:w="340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Servidor Web HTML, ERP/MES</w:t>
            </w:r>
          </w:p>
        </w:tc>
        <w:tc>
          <w:tcPr>
            <w:tcW w:type="dxa" w:w="340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Troca de informações e receitas.</w:t>
            </w:r>
          </w:p>
        </w:tc>
      </w:tr>
    </w:tbl>
    <w:p>
      <w:pPr>
        <w:pStyle w:val="ETAH1"/>
        <w:spacing w:before="200" w:after="80"/>
      </w:pPr>
      <w:r>
        <w:t>3. Nível de processo – ETA</w:t>
      </w:r>
    </w:p>
    <w:p>
      <w:pPr>
        <w:spacing w:after="100" w:line="259" w:lineRule="auto"/>
      </w:pPr>
      <w:r>
        <w:t>O nível de processo corresponde à planta física da ETA. Os sinais de sensores e transmissores são adquiridos pelo CLP e os atuadores recebem comandos do controlador. A base funcional define quatro etapas operacionais:</w:t>
      </w:r>
    </w:p>
    <w:p>
      <w:pPr>
        <w:pStyle w:val="ListBullet"/>
        <w:spacing w:after="40"/>
      </w:pPr>
      <w:r>
        <w:t>Captação: três bombas operando alternadamente por ciclo, transferindo água do rio para o tanque de armazenamento.</w:t>
      </w:r>
    </w:p>
    <w:p>
      <w:pPr>
        <w:pStyle w:val="ListBullet"/>
        <w:spacing w:after="40"/>
      </w:pPr>
      <w:r>
        <w:t>Armazenamento: tanque com grade de retenção de sólidos, medição de nível, chaves redundantes de nível e medição de vazão na saída.</w:t>
      </w:r>
    </w:p>
    <w:p>
      <w:pPr>
        <w:pStyle w:val="ListBullet"/>
        <w:spacing w:after="40"/>
      </w:pPr>
      <w:r>
        <w:t>Tratamento: dosagem de sulfato de alumínio, polímero e hidróxido de sódio; misturador em duas velocidades; medição móvel de pureza; saída de água tratada e ramal independente de lodo.</w:t>
      </w:r>
    </w:p>
    <w:p>
      <w:pPr>
        <w:pStyle w:val="ListBullet"/>
        <w:spacing w:after="40"/>
      </w:pPr>
      <w:r>
        <w:t>Distribuição: dosagem de flúor e cloro e armazenamento no tanque de distribuição.</w:t>
      </w:r>
    </w:p>
    <w:p>
      <w:pPr>
        <w:pStyle w:val="ETAH1"/>
        <w:spacing w:before="200" w:after="80"/>
      </w:pPr>
      <w:r>
        <w:t>4. CLP Altus – Controle central</w:t>
      </w:r>
    </w:p>
    <w:p>
      <w:pPr>
        <w:spacing w:after="100" w:line="259" w:lineRule="auto"/>
      </w:pPr>
      <w:r>
        <w:t>O CLP Altus executa a lógica Ladder do processo e permanece responsável pelas funções críticas de controle, mesmo quando as camadas superiores de supervisão ou IIoT estiverem indisponíveis.</w:t>
      </w:r>
    </w:p>
    <w:p>
      <w:pPr>
        <w:pStyle w:val="ListBullet"/>
        <w:spacing w:after="40"/>
      </w:pPr>
      <w:r>
        <w:t>Sequenciamento das bateladas.</w:t>
      </w:r>
    </w:p>
    <w:p>
      <w:pPr>
        <w:pStyle w:val="ListBullet"/>
        <w:spacing w:after="40"/>
      </w:pPr>
      <w:r>
        <w:t>Alternância das três bombas de captação.</w:t>
      </w:r>
    </w:p>
    <w:p>
      <w:pPr>
        <w:pStyle w:val="ListBullet"/>
        <w:spacing w:after="40"/>
      </w:pPr>
      <w:r>
        <w:t>Controle das bombas de escoamento do armazenamento e do tratamento.</w:t>
      </w:r>
    </w:p>
    <w:p>
      <w:pPr>
        <w:pStyle w:val="ListBullet"/>
        <w:spacing w:after="40"/>
      </w:pPr>
      <w:r>
        <w:t>Controle das bombas dosadoras e do misturador.</w:t>
      </w:r>
    </w:p>
    <w:p>
      <w:pPr>
        <w:pStyle w:val="ListBullet"/>
        <w:spacing w:after="40"/>
      </w:pPr>
      <w:r>
        <w:t>Tratamento das condições de nível, vazão e pureza.</w:t>
      </w:r>
    </w:p>
    <w:p>
      <w:pPr>
        <w:pStyle w:val="ListBullet"/>
        <w:spacing w:after="40"/>
      </w:pPr>
      <w:r>
        <w:t>Controle da válvula de lodo e das válvulas de flúor e cloro.</w:t>
      </w:r>
    </w:p>
    <w:p>
      <w:pPr>
        <w:pStyle w:val="ListBullet"/>
        <w:spacing w:after="40"/>
      </w:pPr>
      <w:r>
        <w:t>Temporizações, alarmes e intertravamentos previstos na lógica funcional.</w:t>
      </w:r>
    </w:p>
    <w:p>
      <w:pPr>
        <w:pStyle w:val="ETAH1"/>
        <w:spacing w:before="200" w:after="80"/>
      </w:pPr>
      <w:r>
        <w:t>5. MasterTool Altus – Engenharia e programação</w:t>
      </w:r>
    </w:p>
    <w:p>
      <w:pPr>
        <w:spacing w:after="100" w:line="259" w:lineRule="auto"/>
      </w:pPr>
      <w:r>
        <w:t>O MasterTool Altus é o ambiente de engenharia utilizado para desenvolvimento, manutenção, monitoração e diagnóstico do programa Ladder do CLP. Sua comunicação com o controlador é destinada à engenharia e não substitui o supervisório de operação.</w:t>
      </w:r>
    </w:p>
    <w:p>
      <w:pPr>
        <w:pStyle w:val="ETAH1"/>
        <w:spacing w:before="200" w:after="80"/>
      </w:pPr>
      <w:r>
        <w:t>6. Supervisório BluePlant – Indústria 3.0</w:t>
      </w:r>
    </w:p>
    <w:p>
      <w:pPr>
        <w:spacing w:after="100" w:line="259" w:lineRule="auto"/>
      </w:pPr>
      <w:r>
        <w:t>O BluePlant Altus representa a camada de supervisão e controle. A arquitetura adotada prevê comunicação entre o CLP e o supervisório por Modbus TCP. O supervisório deverá apresentar ao operador as variáveis de processo, estados dos equipamentos, alarmes, parâmetros e informações necessárias ao acompanhamento das bateladas.</w:t>
      </w:r>
    </w:p>
    <w:p>
      <w:pPr>
        <w:spacing w:after="100" w:line="259" w:lineRule="auto"/>
      </w:pPr>
      <w:r>
        <w:t>Caminho principal de supervisão: Processo ETA ↔ CLP Altus ↔ Modbus TCP ↔ BluePlant.</w:t>
      </w:r>
    </w:p>
    <w:p>
      <w:pPr>
        <w:pStyle w:val="ETAH1"/>
        <w:spacing w:before="200" w:after="80"/>
      </w:pPr>
      <w:r>
        <w:t>7. Node-RED – Integração e IIoT</w:t>
      </w:r>
    </w:p>
    <w:p>
      <w:pPr>
        <w:spacing w:after="100" w:line="259" w:lineRule="auto"/>
      </w:pPr>
      <w:r>
        <w:t>O Node-RED funciona como camada de integração entre o ambiente de automação e os serviços de dados. A comunicação principal entre CLP e Node-RED será realizada por OPC UA e, conforme definido na arquitetura, deverá ser bidirecional quando houver necessidade de leitura e escrita de variáveis autorizadas.</w:t>
      </w:r>
    </w:p>
    <w:p>
      <w:pPr>
        <w:spacing w:after="100" w:line="259" w:lineRule="auto"/>
      </w:pPr>
      <w:r>
        <w:t>Também está prevista uma segunda instância ou função lógica de Node-RED associada ao Servidor Web HTML. A seta entre esses dois blocos é bidirecional, representando troca de dados nos dois sentidos. A documentação funcional anexada não define detalhes de API, portas, autenticação ou estrutura das mensagens; esses itens permanecem a definir.</w:t>
      </w:r>
    </w:p>
    <w:p>
      <w:pPr>
        <w:pStyle w:val="ETAH1"/>
        <w:spacing w:before="200" w:after="80"/>
      </w:pPr>
      <w:r>
        <w:t>8. Simulação de I/O</w:t>
      </w:r>
    </w:p>
    <w:p>
      <w:pPr>
        <w:spacing w:after="100" w:line="259" w:lineRule="auto"/>
      </w:pPr>
      <w:r>
        <w:t>A arquitetura inclui uma função de Simulação de I/O's ligada ao Node-RED, destinada a testes, desenvolvimento e validação sem depender integralmente da planta física. Essa camada pode reproduzir estados e valores de processo, desde que seja claramente separada dos sinais reais.</w:t>
      </w:r>
    </w:p>
    <w:p>
      <w:pPr>
        <w:pStyle w:val="ETAH1"/>
        <w:spacing w:before="200" w:after="80"/>
      </w:pPr>
      <w:r>
        <w:t>9. MySQL – Histórico de Dados</w:t>
      </w:r>
    </w:p>
    <w:p>
      <w:pPr>
        <w:spacing w:after="100" w:line="259" w:lineRule="auto"/>
      </w:pPr>
      <w:r>
        <w:t>O projeto utiliza um único banco MySQL destinado ao histórico de dados da ETA. O Node-RED deverá registrar nesse banco as variáveis selecionadas para análise histórica, rastreabilidade e geração de indicadores.</w:t>
      </w:r>
    </w:p>
    <w:p>
      <w:pPr>
        <w:spacing w:after="100" w:line="259" w:lineRule="auto"/>
      </w:pPr>
      <w:r>
        <w:t>Caminho de dados: CLP Altus ↔ OPC UA ↔ Node-RED ↔ MySQL (Histórico de Dados).</w:t>
      </w:r>
    </w:p>
    <w:p>
      <w:pPr>
        <w:pStyle w:val="ETAH1"/>
        <w:spacing w:before="200" w:after="80"/>
      </w:pPr>
      <w:r>
        <w:t>10. Grafana e dashboards</w:t>
      </w:r>
    </w:p>
    <w:p>
      <w:pPr>
        <w:spacing w:after="100" w:line="259" w:lineRule="auto"/>
      </w:pPr>
      <w:r>
        <w:t>O Grafana compõe a camada de dashboards. Os dashboards utilizam tanto dados disponibilizados pelo Node-RED quanto o histórico armazenado no MySQL. Dessa forma, a aplicação pode combinar informações atuais e históricas.</w:t>
      </w:r>
    </w:p>
    <w:p>
      <w:pPr>
        <w:pStyle w:val="ListBullet"/>
        <w:spacing w:after="40"/>
      </w:pPr>
      <w:r>
        <w:t>Manutenção</w:t>
      </w:r>
    </w:p>
    <w:p>
      <w:pPr>
        <w:pStyle w:val="ListBullet"/>
        <w:spacing w:after="40"/>
      </w:pPr>
      <w:r>
        <w:t>Produção</w:t>
      </w:r>
    </w:p>
    <w:p>
      <w:pPr>
        <w:pStyle w:val="ListBullet"/>
        <w:spacing w:after="40"/>
      </w:pPr>
      <w:r>
        <w:t>OEE</w:t>
      </w:r>
    </w:p>
    <w:p>
      <w:pPr>
        <w:pStyle w:val="ListBullet"/>
        <w:spacing w:after="40"/>
      </w:pPr>
      <w:r>
        <w:t>Eficiência</w:t>
      </w:r>
    </w:p>
    <w:p>
      <w:pPr>
        <w:pStyle w:val="ListBullet"/>
        <w:spacing w:after="40"/>
      </w:pPr>
      <w:r>
        <w:t>Indicadores</w:t>
      </w:r>
    </w:p>
    <w:p>
      <w:pPr>
        <w:spacing w:after="100" w:line="259" w:lineRule="auto"/>
      </w:pPr>
      <w:r>
        <w:t>A comunicação entre os dashboards e o MySQL é bidirecional no desenho arquitetural no sentido de troca lógica de dados/consultas. A implementação efetiva deverá respeitar permissões de leitura/escrita e a política de acesso a ser definida para o banco.</w:t>
      </w:r>
    </w:p>
    <w:p>
      <w:pPr>
        <w:pStyle w:val="ETAH1"/>
        <w:spacing w:before="200" w:after="80"/>
      </w:pPr>
      <w:r>
        <w:t>11. Servidor Web HTML e Node-RED</w:t>
      </w:r>
    </w:p>
    <w:p>
      <w:pPr>
        <w:spacing w:after="100" w:line="259" w:lineRule="auto"/>
      </w:pPr>
      <w:r>
        <w:t>O Servidor Web HTML integra-se ao Node-RED por uma conexão bidirecional. Essa camada permite disponibilizar informações tratadas pelo Node-RED para aplicações Web e receber dados, solicitações ou comandos autorizados provenientes da aplicação.</w:t>
      </w:r>
    </w:p>
    <w:p>
      <w:pPr>
        <w:spacing w:after="100" w:line="259" w:lineRule="auto"/>
      </w:pPr>
      <w:r>
        <w:t>O desenho arquitetural também posiciona ERP/MES e Receitas nessa camada superior. A base funcional da ETA não detalha os mecanismos de integração ERP/MES, portanto formatos de receita, autenticação, endpoints e regras de escrita permanecem como itens de engenharia a definir.</w:t>
      </w:r>
    </w:p>
    <w:p>
      <w:pPr>
        <w:pStyle w:val="ETAH1"/>
        <w:spacing w:before="200" w:after="80"/>
      </w:pPr>
      <w:r>
        <w:t>12. Protocolos e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2550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2550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Interface / Protocolo</w:t>
            </w:r>
          </w:p>
        </w:tc>
        <w:tc>
          <w:tcPr>
            <w:tcW w:type="dxa" w:w="2550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Processo ETA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CLP Altus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I/O físicos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Sensores e atuadores da planta.</w:t>
            </w:r>
          </w:p>
        </w:tc>
      </w:tr>
      <w:tr>
        <w:tc>
          <w:tcPr>
            <w:tcW w:type="dxa" w:w="255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CLP Altus</w:t>
            </w:r>
          </w:p>
        </w:tc>
        <w:tc>
          <w:tcPr>
            <w:tcW w:type="dxa" w:w="255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BluePlant</w:t>
            </w:r>
          </w:p>
        </w:tc>
        <w:tc>
          <w:tcPr>
            <w:tcW w:type="dxa" w:w="255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Modbus TCP</w:t>
            </w:r>
          </w:p>
        </w:tc>
        <w:tc>
          <w:tcPr>
            <w:tcW w:type="dxa" w:w="255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Supervisão e controle.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MasterTool Altus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CLP Altus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Engenharia / programação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Programação Ladder, diagnóstico e manutenção.</w:t>
            </w:r>
          </w:p>
        </w:tc>
      </w:tr>
      <w:tr>
        <w:tc>
          <w:tcPr>
            <w:tcW w:type="dxa" w:w="255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CLP Altus</w:t>
            </w:r>
          </w:p>
        </w:tc>
        <w:tc>
          <w:tcPr>
            <w:tcW w:type="dxa" w:w="255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Node-RED</w:t>
            </w:r>
          </w:p>
        </w:tc>
        <w:tc>
          <w:tcPr>
            <w:tcW w:type="dxa" w:w="255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OPC UA</w:t>
            </w:r>
          </w:p>
        </w:tc>
        <w:tc>
          <w:tcPr>
            <w:tcW w:type="dxa" w:w="255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Integração bidirecional conforme permissões.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Node-RED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MySQL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Conector SQL / banco de dados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Armazenamento de histórico.</w:t>
            </w:r>
          </w:p>
        </w:tc>
      </w:tr>
      <w:tr>
        <w:tc>
          <w:tcPr>
            <w:tcW w:type="dxa" w:w="255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MySQL</w:t>
            </w:r>
          </w:p>
        </w:tc>
        <w:tc>
          <w:tcPr>
            <w:tcW w:type="dxa" w:w="255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Grafana / Dashboards</w:t>
            </w:r>
          </w:p>
        </w:tc>
        <w:tc>
          <w:tcPr>
            <w:tcW w:type="dxa" w:w="255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Consulta ao banco</w:t>
            </w:r>
          </w:p>
        </w:tc>
        <w:tc>
          <w:tcPr>
            <w:tcW w:type="dxa" w:w="255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Histórico e indicadores.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Node-RED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Grafana / Dashboards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Integração de dados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Dados atuais e eventos.</w:t>
            </w:r>
          </w:p>
        </w:tc>
      </w:tr>
      <w:tr>
        <w:tc>
          <w:tcPr>
            <w:tcW w:type="dxa" w:w="255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Node-RED</w:t>
            </w:r>
          </w:p>
        </w:tc>
        <w:tc>
          <w:tcPr>
            <w:tcW w:type="dxa" w:w="255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Servidor Web HTML</w:t>
            </w:r>
          </w:p>
        </w:tc>
        <w:tc>
          <w:tcPr>
            <w:tcW w:type="dxa" w:w="255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HTTP/HTML</w:t>
            </w:r>
          </w:p>
        </w:tc>
        <w:tc>
          <w:tcPr>
            <w:tcW w:type="dxa" w:w="2550"/>
            <w:vAlign w:val="center"/>
            <w:shd w:fill="F3F6F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Comunicação bidirecional.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ERP/MES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Servidor Web HTML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Integração empresarial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Receitas e informações; detalhes a definir.</w:t>
            </w:r>
          </w:p>
        </w:tc>
      </w:tr>
    </w:tbl>
    <w:p>
      <w:pPr>
        <w:pStyle w:val="ETAH1"/>
        <w:spacing w:before="200" w:after="80"/>
      </w:pPr>
      <w:r>
        <w:t>13. Mapeamento das variáveis do CLP para a arquitetura de dados</w:t>
      </w:r>
    </w:p>
    <w:p>
      <w:pPr>
        <w:spacing w:after="100" w:line="259" w:lineRule="auto"/>
      </w:pPr>
      <w:r>
        <w:t>A tabela abaixo relaciona as variáveis definidas na base funcional com as camadas de integração. Como o documento-fonte não fornece NodeIds OPC UA, nomes de tópicos Node-RED, tabelas/campos MySQL ou painéis Grafana, esses campos são mantidos como “A definir” para evitar inferências.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center"/>
            <w:shd w:fill="1F4E7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Variável</w:t>
            </w:r>
          </w:p>
        </w:tc>
        <w:tc>
          <w:tcPr>
            <w:tcW w:type="dxa" w:w="1457"/>
            <w:vAlign w:val="center"/>
            <w:shd w:fill="1F4E7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Endereço</w:t>
            </w:r>
          </w:p>
        </w:tc>
        <w:tc>
          <w:tcPr>
            <w:tcW w:type="dxa" w:w="1457"/>
            <w:vAlign w:val="center"/>
            <w:shd w:fill="1F4E7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1457"/>
            <w:vAlign w:val="center"/>
            <w:shd w:fill="1F4E7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OPC UA</w:t>
            </w:r>
          </w:p>
        </w:tc>
        <w:tc>
          <w:tcPr>
            <w:tcW w:type="dxa" w:w="1457"/>
            <w:vAlign w:val="center"/>
            <w:shd w:fill="1F4E7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Node-RED</w:t>
            </w:r>
          </w:p>
        </w:tc>
        <w:tc>
          <w:tcPr>
            <w:tcW w:type="dxa" w:w="1457"/>
            <w:vAlign w:val="center"/>
            <w:shd w:fill="1F4E7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MySQL</w:t>
            </w:r>
          </w:p>
        </w:tc>
        <w:tc>
          <w:tcPr>
            <w:tcW w:type="dxa" w:w="1457"/>
            <w:vAlign w:val="center"/>
            <w:shd w:fill="1F4E7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Grafana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Bomba de captação 1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Q 124.0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Bomba de captação 2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Q 124.1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Bomba de captação 3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Q 124.2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Bomba dosadora Alumínio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Q 124.3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Bomba dosadora Polímero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Q 124.4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Bomba dosadora Sódio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Q 124.5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Bomba escoamento Armazém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Q 124.6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Bomba escoamento Tratamento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Q 124.7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Válvula de Lodo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Q 125.0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Válvula de Flúor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Q 125.1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Válvula de Cloro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Q 125.2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Misturador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Q 125.3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Motor descida medição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Q 125.5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Motor subida medição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Q 125.6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Habilita Processo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 0.0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Nível baixo Armazém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 0.1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Nível alto Armazém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 0.2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Nível baixo Distribuição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 0.3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Sensor posição alta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 0.4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Sensor posição baixa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 0.5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BOOL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Nível Armazenamento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MW 2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INTEIRO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Vazão de Saída Armazém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MW 4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INTEIRO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Sensor de Pureza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MW 6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INTEIRO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Nível Tratamento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MW 8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INTEIRO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Velocidade Misturador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MW 10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INTEIRO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Nível Distribuição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MW 12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INTEIRO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Nível Flúor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MW 14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INTEIRO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Nível Cloro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MW 16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INTEIRO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Massa Flúor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MW 18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INTEIRO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  <w:tr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Massa Cloro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MW 20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INTEIRO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  <w:tc>
          <w:tcPr>
            <w:tcW w:type="dxa" w:w="1457"/>
            <w:vAlign w:val="center"/>
            <w:shd w:fill="F3F6F9"/>
          </w:tcPr>
          <w:p>
            <w:pPr>
              <w:spacing w:after="0"/>
              <w:jc w:val="left"/>
            </w:pPr>
            <w:r>
              <w:rPr>
                <w:sz w:val="13"/>
              </w:rPr>
            </w:r>
            <w:r>
              <w:rPr>
                <w:rFonts w:ascii="Aptos" w:hAnsi="Aptos"/>
                <w:b w:val="0"/>
                <w:sz w:val="13"/>
              </w:rPr>
              <w:t>A definir</w:t>
            </w:r>
          </w:p>
        </w:tc>
      </w:tr>
    </w:tbl>
    <w:p>
      <w:pPr>
        <w:pStyle w:val="ETAH1"/>
        <w:spacing w:before="60" w:after="20" w:line="240" w:lineRule="auto"/>
      </w:pPr>
      <w:r>
        <w:rPr>
          <w:sz w:val="19"/>
        </w:rPr>
        <w:t>14. Regras de consistência e pontos em aberto</w:t>
      </w:r>
    </w:p>
    <w:p>
      <w:pPr>
        <w:pStyle w:val="ListBullet"/>
        <w:spacing w:after="20" w:line="240" w:lineRule="auto"/>
      </w:pPr>
      <w:r>
        <w:rPr>
          <w:sz w:val="19"/>
        </w:rPr>
        <w:t>A captação possui exatamente três bombas, operando alternadamente por ciclo.</w:t>
      </w:r>
    </w:p>
    <w:p>
      <w:pPr>
        <w:pStyle w:val="ListBullet"/>
        <w:spacing w:after="20" w:line="240" w:lineRule="auto"/>
      </w:pPr>
      <w:r>
        <w:rPr>
          <w:sz w:val="19"/>
        </w:rPr>
        <w:t>A bomba Q124.6 transfere água do tanque de armazenamento para o tanque de tratamento.</w:t>
      </w:r>
    </w:p>
    <w:p>
      <w:pPr>
        <w:pStyle w:val="ListBullet"/>
        <w:spacing w:after="20" w:line="240" w:lineRule="auto"/>
      </w:pPr>
      <w:r>
        <w:rPr>
          <w:sz w:val="19"/>
        </w:rPr>
        <w:t>A bomba Q124.7 transfere água tratada do tanque de tratamento em direção à distribuição.</w:t>
      </w:r>
    </w:p>
    <w:p>
      <w:pPr>
        <w:pStyle w:val="ListBullet"/>
        <w:spacing w:after="20" w:line="240" w:lineRule="auto"/>
      </w:pPr>
      <w:r>
        <w:rPr>
          <w:sz w:val="19"/>
        </w:rPr>
        <w:t>O tratamento possui três dosagens químicas: sulfato de alumínio, polímero e hidróxido de sódio.</w:t>
      </w:r>
    </w:p>
    <w:p>
      <w:pPr>
        <w:pStyle w:val="ListBullet"/>
        <w:spacing w:after="20" w:line="240" w:lineRule="auto"/>
      </w:pPr>
      <w:r>
        <w:rPr>
          <w:sz w:val="19"/>
        </w:rPr>
        <w:t>O sensor de pureza é móvel verticalmente, com posições alta e baixa.</w:t>
      </w:r>
    </w:p>
    <w:p>
      <w:pPr>
        <w:pStyle w:val="ListBullet"/>
        <w:spacing w:after="20" w:line="240" w:lineRule="auto"/>
      </w:pPr>
      <w:r>
        <w:rPr>
          <w:sz w:val="19"/>
        </w:rPr>
        <w:t>A saída de lodo é independente da linha de água tratada.</w:t>
      </w:r>
    </w:p>
    <w:p>
      <w:pPr>
        <w:pStyle w:val="ListBullet"/>
        <w:spacing w:after="20" w:line="240" w:lineRule="auto"/>
      </w:pPr>
      <w:r>
        <w:rPr>
          <w:sz w:val="19"/>
        </w:rPr>
        <w:t>Na distribuição, os produtos previstos são flúor e cloro; não há ozônio na base funcional.</w:t>
      </w:r>
    </w:p>
    <w:p>
      <w:pPr>
        <w:pStyle w:val="ListBullet"/>
        <w:spacing w:after="20" w:line="240" w:lineRule="auto"/>
      </w:pPr>
      <w:r>
        <w:rPr>
          <w:sz w:val="19"/>
        </w:rPr>
        <w:t>O banco MySQL definido para a camada IIoT é único e destinado ao histórico de dados.</w:t>
      </w:r>
    </w:p>
    <w:p>
      <w:pPr>
        <w:pStyle w:val="ListBullet"/>
        <w:spacing w:after="20" w:line="240" w:lineRule="auto"/>
      </w:pPr>
      <w:r>
        <w:rPr>
          <w:sz w:val="19"/>
        </w:rPr>
        <w:t>NodeIds OPC UA, estrutura de tabelas MySQL, nomes de fluxos Node-RED, APIs Web e estrutura de dashboards ainda não estão definidos no documento-fonte.</w:t>
      </w:r>
    </w:p>
    <w:p>
      <w:pPr>
        <w:pStyle w:val="ListBullet"/>
        <w:spacing w:after="20" w:line="240" w:lineRule="auto"/>
      </w:pPr>
      <w:r>
        <w:rPr>
          <w:sz w:val="19"/>
        </w:rPr>
        <w:t>Qualquer novo equipamento, variável ou conexão deverá ser confirmado antes de entrar no Ladder, na arquitetura ou na imagem 3D.</w:t>
      </w:r>
    </w:p>
    <w:p>
      <w:pPr>
        <w:pStyle w:val="ETAH1"/>
        <w:spacing w:before="60" w:after="20" w:line="240" w:lineRule="auto"/>
      </w:pPr>
      <w:r>
        <w:rPr>
          <w:sz w:val="19"/>
        </w:rPr>
        <w:t>15. Síntese da arquitetura</w:t>
      </w:r>
    </w:p>
    <w:p>
      <w:pPr>
        <w:spacing w:before="160" w:after="20" w:line="240" w:lineRule="auto"/>
        <w:jc w:val="center"/>
      </w:pPr>
      <w:r>
        <w:rPr>
          <w:rFonts w:ascii="Consolas" w:hAnsi="Consolas"/>
          <w:b/>
          <w:color w:val="17365D"/>
          <w:sz w:val="19"/>
        </w:rPr>
        <w:t>PROCESSO ETA ↔ CLP ALTUS ↔ BLUEPLANT</w:t>
        <w:br/>
        <w:t xml:space="preserve">                 ↕ OPC UA</w:t>
        <w:br/>
        <w:t xml:space="preserve">              NODE-RED ↔ MYSQL ↔ GRAFANA</w:t>
        <w:br/>
        <w:t xml:space="preserve">                 ↕</w:t>
        <w:br/>
        <w:t xml:space="preserve">         SERVIDOR WEB HTML ↔ ERP/MES</w:t>
      </w:r>
    </w:p>
    <w:p>
      <w:pPr>
        <w:spacing w:after="20" w:line="240" w:lineRule="auto" w:before="60"/>
      </w:pPr>
      <w:r>
        <w:rPr>
          <w:sz w:val="19"/>
        </w:rPr>
        <w:t>Essa separação preserva o CLP como controlador determinístico do processo e utiliza as camadas superiores para supervisão, integração, histórico, análise e gestão, mantendo claramente separados os papéis de controle industrial e tratamento de informações.</w:t>
      </w:r>
    </w:p>
    <w:sectPr w:rsidR="00FC693F" w:rsidRPr="0006063C" w:rsidSect="00034616"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ETA por Batelada – Arquitetura de Automação, Supervisão e IIoT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TATitle">
    <w:name w:val="ETA Title"/>
    <w:rPr>
      <w:rFonts w:ascii="Aptos Display" w:hAnsi="Aptos Display"/>
      <w:b/>
      <w:color w:val="17365D"/>
      <w:sz w:val="44"/>
    </w:rPr>
  </w:style>
  <w:style w:type="paragraph" w:customStyle="1" w:styleId="ETASubtitle">
    <w:name w:val="ETA Subtitle"/>
    <w:rPr>
      <w:rFonts w:ascii="Aptos" w:hAnsi="Aptos"/>
      <w:b/>
      <w:color w:val="1F4E79"/>
      <w:sz w:val="25"/>
    </w:rPr>
  </w:style>
  <w:style w:type="paragraph" w:customStyle="1" w:styleId="ETAH1">
    <w:name w:val="ETA H1"/>
    <w:rPr>
      <w:rFonts w:ascii="Aptos Display" w:hAnsi="Aptos Display"/>
      <w:b/>
      <w:color w:val="17365D"/>
      <w:sz w:val="30"/>
    </w:rPr>
  </w:style>
  <w:style w:type="paragraph" w:customStyle="1" w:styleId="ETAH2">
    <w:name w:val="ETA H2"/>
    <w:rPr>
      <w:rFonts w:ascii="Aptos Display" w:hAnsi="Aptos Display"/>
      <w:b/>
      <w:color w:val="1F4E79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40A52A47187141B8A4EA18C1363924" ma:contentTypeVersion="10" ma:contentTypeDescription="Crie um novo documento." ma:contentTypeScope="" ma:versionID="1811f7ca405b275f2a777a1d0606002f">
  <xsd:schema xmlns:xsd="http://www.w3.org/2001/XMLSchema" xmlns:xs="http://www.w3.org/2001/XMLSchema" xmlns:p="http://schemas.microsoft.com/office/2006/metadata/properties" xmlns:ns2="94dab4cf-8c60-41ba-ab32-3924a54b51c3" xmlns:ns3="a026da6e-37d5-4931-939c-b61cf2533d6c" targetNamespace="http://schemas.microsoft.com/office/2006/metadata/properties" ma:root="true" ma:fieldsID="eb8f0997d4991b4728b443eede3fc4df" ns2:_="" ns3:_="">
    <xsd:import namespace="94dab4cf-8c60-41ba-ab32-3924a54b51c3"/>
    <xsd:import namespace="a026da6e-37d5-4931-939c-b61cf2533d6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ab4cf-8c60-41ba-ab32-3924a54b51c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6da6e-37d5-4931-939c-b61cf2533d6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acd3c3a-5d1a-490c-884b-28f5f1cd2149}" ma:internalName="TaxCatchAll" ma:showField="CatchAllData" ma:web="a026da6e-37d5-4931-939c-b61cf2533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4dab4cf-8c60-41ba-ab32-3924a54b51c3" xsi:nil="true"/>
    <TaxCatchAll xmlns="a026da6e-37d5-4931-939c-b61cf2533d6c" xsi:nil="true"/>
    <lcf76f155ced4ddcb4097134ff3c332f xmlns="94dab4cf-8c60-41ba-ab32-3924a54b51c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991719-9C6D-4AD6-8CB7-4766697C09E2}"/>
</file>

<file path=customXml/itemProps3.xml><?xml version="1.0" encoding="utf-8"?>
<ds:datastoreItem xmlns:ds="http://schemas.openxmlformats.org/officeDocument/2006/customXml" ds:itemID="{4AE4B60D-8D80-460F-8F50-459305C0289B}"/>
</file>

<file path=customXml/itemProps4.xml><?xml version="1.0" encoding="utf-8"?>
<ds:datastoreItem xmlns:ds="http://schemas.openxmlformats.org/officeDocument/2006/customXml" ds:itemID="{3FF932F9-475B-41FA-9DE0-5AF06319E2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0x0101001E40A52A47187141B8A4EA18C1363924</vt:lpwstr>
  </property>
</Properties>
</file>