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503A" w:rsidP="6D27D055" w:rsidRDefault="00C228FF" w14:paraId="00000001" w14:textId="77777777">
      <w:pPr>
        <w:spacing w:before="20" w:beforeAutospacing="off" w:after="20" w:afterAutospacing="off"/>
        <w:rPr>
          <w:b w:val="1"/>
          <w:bCs w:val="1"/>
          <w:color w:val="212529"/>
          <w:sz w:val="22"/>
          <w:szCs w:val="22"/>
          <w:highlight w:val="white"/>
        </w:rPr>
      </w:pPr>
      <w:r w:rsidRPr="6D27D055" w:rsidR="00C228FF">
        <w:rPr>
          <w:b w:val="1"/>
          <w:bCs w:val="1"/>
          <w:color w:val="212529"/>
          <w:sz w:val="22"/>
          <w:szCs w:val="22"/>
          <w:highlight w:val="white"/>
        </w:rPr>
        <w:t xml:space="preserve">Utilização de </w:t>
      </w:r>
      <w:r w:rsidRPr="6D27D055" w:rsidR="00C228FF">
        <w:rPr>
          <w:b w:val="1"/>
          <w:bCs w:val="1"/>
          <w:color w:val="212529"/>
          <w:sz w:val="22"/>
          <w:szCs w:val="22"/>
          <w:highlight w:val="white"/>
        </w:rPr>
        <w:t>VANTs</w:t>
      </w:r>
      <w:r w:rsidRPr="6D27D055" w:rsidR="00C228FF">
        <w:rPr>
          <w:b w:val="1"/>
          <w:bCs w:val="1"/>
          <w:color w:val="212529"/>
          <w:sz w:val="22"/>
          <w:szCs w:val="22"/>
          <w:highlight w:val="white"/>
        </w:rPr>
        <w:t xml:space="preserve"> na Agricultura de Precisão</w:t>
      </w:r>
    </w:p>
    <w:p w:rsidR="00A0503A" w:rsidP="6D27D055" w:rsidRDefault="00C228FF" w14:paraId="00000002" w14:textId="77777777">
      <w:pPr>
        <w:spacing w:before="20" w:beforeAutospacing="off" w:after="20" w:afterAutospacing="off"/>
        <w:rPr>
          <w:color w:val="212529"/>
          <w:sz w:val="22"/>
          <w:szCs w:val="22"/>
          <w:highlight w:val="white"/>
        </w:rPr>
      </w:pP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Os veículos aéreos não tripulados, chamados de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ou drones, vêm ganhando operação no território nacional, com a agricultura de precisão. Apesar do potencial, a sua aplicação ainda é restrita devido à regulamentação da ANAC, que requer autorização para operar em espaço aéreo.</w:t>
      </w: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começaram a ter desenvolvimento no Brasil a partir de 1980 com projetos militares e civis, dentre os quais podemos citar o Acauã e o Helix, sendo que a Embrapa Instrumentação, em São Carlos, foi pioneira em 1999 com o pro</w:t>
      </w:r>
      <w:r w:rsidRPr="6D27D055" w:rsidR="00C228FF">
        <w:rPr>
          <w:color w:val="212529"/>
          <w:sz w:val="22"/>
          <w:szCs w:val="22"/>
          <w:highlight w:val="white"/>
        </w:rPr>
        <w:t>jeto ARARA visando o monitoramento agrícola. Desde então, muitas empresas foram sendo criadas, atravessadas pelas iniciativas acadêmicas e pela facilidade de se conseguir componentes, resultando na atual quantidade de mais de dois mil sistemas operacionais no Brasil. Esse crescimento demonstra o interesse contínuo por soluções tecnológicas que atendam às demandas do campo, promovendo maior controle e eficiência nas atividades rurais.</w:t>
      </w: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são compostos por uma aeronave e uma estação de controle em solo</w:t>
      </w:r>
      <w:r w:rsidRPr="6D27D055" w:rsidR="00C228FF">
        <w:rPr>
          <w:color w:val="212529"/>
          <w:sz w:val="22"/>
          <w:szCs w:val="22"/>
          <w:highlight w:val="white"/>
        </w:rPr>
        <w:t xml:space="preserve">, esta composta por GPS, IMU e piloto automático. São classificados conforme alcance, altitude e tipo de estrutura: </w:t>
      </w:r>
      <w:r w:rsidRPr="6D27D055" w:rsidR="00C228FF">
        <w:rPr>
          <w:color w:val="212529"/>
          <w:sz w:val="22"/>
          <w:szCs w:val="22"/>
          <w:highlight w:val="white"/>
        </w:rPr>
        <w:t>multirotores</w:t>
      </w:r>
      <w:r w:rsidRPr="6D27D055" w:rsidR="00C228FF">
        <w:rPr>
          <w:color w:val="212529"/>
          <w:sz w:val="22"/>
          <w:szCs w:val="22"/>
          <w:highlight w:val="white"/>
        </w:rPr>
        <w:t xml:space="preserve">, asas fixas, helicópteros e dirigíveis. Os </w:t>
      </w:r>
      <w:r w:rsidRPr="6D27D055" w:rsidR="00C228FF">
        <w:rPr>
          <w:color w:val="212529"/>
          <w:sz w:val="22"/>
          <w:szCs w:val="22"/>
          <w:highlight w:val="white"/>
        </w:rPr>
        <w:t>multirotores</w:t>
      </w:r>
      <w:r w:rsidRPr="6D27D055" w:rsidR="00C228FF">
        <w:rPr>
          <w:color w:val="212529"/>
          <w:sz w:val="22"/>
          <w:szCs w:val="22"/>
          <w:highlight w:val="white"/>
        </w:rPr>
        <w:t xml:space="preserve"> são os mais utilizados na agricultura devido à sua estabilidade, facilidade de operação e baixo custo, embora possuam baixa autonomia. As de asas fixas são mais eficientes em grandes distâncias; os helicópteros suportam ventos fortes; os dirigíveis têm grande flexibilidade para decolagem, embora sejam difíceis de transportar.</w:t>
      </w:r>
      <w:r w:rsidRPr="6D27D055" w:rsidR="00C228FF">
        <w:rPr>
          <w:color w:val="212529"/>
          <w:sz w:val="22"/>
          <w:szCs w:val="22"/>
          <w:highlight w:val="white"/>
        </w:rPr>
        <w:t xml:space="preserve"> Cada tipo possui características específicas que devem ser consideradas conforme o objetivo da operação e as condições do terreno.</w:t>
      </w: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Na agricultura, 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utilizam os sensores empregados na espectroscopia de reflectância para monitorar o estado das culturas. Câmeras RGB detectam falhas de plantio e doenças; sensores NIR avaliam o vigor vegetal, sensores SWIR identificam bioquímicos e estresse hídrico; sensores </w:t>
      </w:r>
      <w:r w:rsidRPr="6D27D055" w:rsidR="00C228FF">
        <w:rPr>
          <w:color w:val="212529"/>
          <w:sz w:val="22"/>
          <w:szCs w:val="22"/>
          <w:highlight w:val="white"/>
        </w:rPr>
        <w:t>hiperespectrais</w:t>
      </w:r>
      <w:r w:rsidRPr="6D27D055" w:rsidR="00C228FF">
        <w:rPr>
          <w:color w:val="212529"/>
          <w:sz w:val="22"/>
          <w:szCs w:val="22"/>
          <w:highlight w:val="white"/>
        </w:rPr>
        <w:t xml:space="preserve"> oferecem análises detalhadas; sensores de fluorescência detectam mudanças na cl</w:t>
      </w:r>
      <w:r w:rsidRPr="6D27D055" w:rsidR="00C228FF">
        <w:rPr>
          <w:color w:val="212529"/>
          <w:sz w:val="22"/>
          <w:szCs w:val="22"/>
          <w:highlight w:val="white"/>
        </w:rPr>
        <w:t>orofila. A escolha do sensor depende da finalidade da coleta de dados, podendo variar conforme o tipo de cultura, estágio de desenvolvimento e necessidade de intervenção.</w:t>
      </w: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O uso eficiente dos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utiliza 7 etapas: planejamento do voo, sobreposição de imagens, georreferenciamento, processamento, produção de mosaicos, análise no Sistema de Informação Geográfica (SIG) e elaboração de relatório. Estas etapas permitem a construção de mapas que vão orientar decisões agronômicas, contribuindo para o manejo mais </w:t>
      </w:r>
      <w:r w:rsidRPr="6D27D055" w:rsidR="00C228FF">
        <w:rPr>
          <w:color w:val="212529"/>
          <w:sz w:val="22"/>
          <w:szCs w:val="22"/>
          <w:highlight w:val="white"/>
        </w:rPr>
        <w:t>preciso e racional dos recursos disponíveis.</w:t>
      </w:r>
      <w:r>
        <w:br/>
      </w:r>
      <w:r w:rsidRPr="6D27D055" w:rsidR="00C228FF">
        <w:rPr>
          <w:color w:val="212529"/>
          <w:sz w:val="22"/>
          <w:szCs w:val="22"/>
          <w:highlight w:val="white"/>
        </w:rPr>
        <w:t xml:space="preserve"> Os principais desafios, apesar do avanço, envolvem a regulamentação do setor, serem necessidade da devida manutenção e o treinamento do operador, mas, 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são um recurso promissor para gerar uma agricultura mais eficiente, sustentável e com maior tecnologia de uso. O futuro da agricultura está diretamente ligado à adoção de ferramentas inteligentes, e os </w:t>
      </w:r>
      <w:r w:rsidRPr="6D27D055" w:rsidR="00C228FF">
        <w:rPr>
          <w:color w:val="212529"/>
          <w:sz w:val="22"/>
          <w:szCs w:val="22"/>
          <w:highlight w:val="white"/>
        </w:rPr>
        <w:t>VANTs</w:t>
      </w:r>
      <w:r w:rsidRPr="6D27D055" w:rsidR="00C228FF">
        <w:rPr>
          <w:color w:val="212529"/>
          <w:sz w:val="22"/>
          <w:szCs w:val="22"/>
          <w:highlight w:val="white"/>
        </w:rPr>
        <w:t xml:space="preserve"> representam um passo importante nessa direção.</w:t>
      </w:r>
    </w:p>
    <w:sectPr w:rsidR="00A0503A">
      <w:pgSz w:w="11907" w:h="16839" w:orient="portrait"/>
      <w:pgMar w:top="708" w:right="1134" w:bottom="1440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3A"/>
    <w:rsid w:val="00A0503A"/>
    <w:rsid w:val="00C228FF"/>
    <w:rsid w:val="00EB7A01"/>
    <w:rsid w:val="6D27D055"/>
    <w:rsid w:val="7B5DE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0A6BC"/>
  <w15:docId w15:val="{78C9F454-0203-4B81-8499-2AA7C960E7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CAUA DA SILVA SANTOS</lastModifiedBy>
  <revision>2</revision>
  <dcterms:created xsi:type="dcterms:W3CDTF">2025-09-10T19:24:00.0000000Z</dcterms:created>
  <dcterms:modified xsi:type="dcterms:W3CDTF">2025-09-10T19:26:01.0699929Z</dcterms:modified>
</coreProperties>
</file>