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Style w:val="14"/>
          <w:rFonts w:ascii="tahoma" w:hAnsi="tahoma" w:eastAsia="tahoma" w:cs="tahoma"/>
          <w:b w:val="0"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Style w:val="14"/>
          <w:rFonts w:ascii="tahoma" w:hAnsi="tahoma" w:eastAsia="tahoma" w:cs="tahoma"/>
          <w:b w:val="0"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TOC \o "1-3" \h \u </w:instrText>
      </w:r>
      <w:r>
        <w:rPr>
          <w:rStyle w:val="14"/>
          <w:rFonts w:ascii="tahoma" w:hAnsi="tahoma" w:eastAsia="tahoma" w:cs="tahoma"/>
          <w:b w:val="0"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begin"/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instrText xml:space="preserve"> HYPERLINK \l _Toc1036394458 </w:instrText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i w:val="0"/>
          <w:caps w:val="0"/>
          <w:color w:val="333333"/>
          <w:spacing w:val="0"/>
          <w:kern w:val="0"/>
          <w:szCs w:val="22"/>
          <w:shd w:val="clear" w:fill="FFFFFF"/>
          <w:lang w:val="en-US" w:eastAsia="zh-CN" w:bidi="ar"/>
        </w:rPr>
        <w:t>赛题背景：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_Toc1036394458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begin"/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instrText xml:space="preserve"> HYPERLINK \l _Toc774344481 </w:instrText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i w:val="0"/>
          <w:caps w:val="0"/>
          <w:color w:val="333333"/>
          <w:spacing w:val="0"/>
          <w:kern w:val="0"/>
          <w:szCs w:val="22"/>
          <w:shd w:val="clear" w:fill="FFFFFF"/>
          <w:lang w:val="en-US" w:eastAsia="zh-CN" w:bidi="ar"/>
        </w:rPr>
        <w:t>赛题任务：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_Toc774344481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begin"/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instrText xml:space="preserve"> HYPERLINK \l _Toc2102488040 </w:instrText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DejaVu Sans Mono" w:hAnsi="DejaVu Sans Mono" w:eastAsia="tahoma" w:cs="DejaVu Sans Mono"/>
          <w:bCs/>
          <w:i w:val="0"/>
          <w:caps w:val="0"/>
          <w:color w:val="333333"/>
          <w:spacing w:val="0"/>
          <w:kern w:val="0"/>
          <w:szCs w:val="22"/>
          <w:shd w:val="clear" w:fill="FFFFFF"/>
          <w:lang w:val="en-US" w:eastAsia="zh-CN" w:bidi="ar"/>
        </w:rPr>
        <w:t>字段表：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_Toc2102488040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begin"/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instrText xml:space="preserve"> HYPERLINK \l _Toc522062787 </w:instrText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DejaVu Sans Mono" w:hAnsi="DejaVu Sans Mono" w:eastAsia="tahoma" w:cs="DejaVu Sans Mono"/>
          <w:bCs/>
          <w:i w:val="0"/>
          <w:caps w:val="0"/>
          <w:color w:val="333333"/>
          <w:spacing w:val="0"/>
          <w:kern w:val="0"/>
          <w:szCs w:val="22"/>
          <w:shd w:val="clear" w:fill="FFFFFF"/>
          <w:lang w:val="en-US" w:eastAsia="zh-CN" w:bidi="ar"/>
        </w:rPr>
        <w:t>数据探索：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_Toc522062787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begin"/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instrText xml:space="preserve"> HYPERLINK \l _Toc1155853197 </w:instrText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数据集划分：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_Toc1155853197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begin"/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instrText xml:space="preserve"> HYPERLINK \l _Toc1800560674 </w:instrText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特征工程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_Toc1800560674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14"/>
          <w:rFonts w:ascii="tahoma" w:hAnsi="tahoma" w:eastAsia="tahoma" w:cs="tahoma"/>
          <w:b w:val="0"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ascii="tahoma" w:hAnsi="tahoma" w:eastAsia="tahoma" w:cs="tahoma"/>
          <w:bCs/>
          <w:i w:val="0"/>
          <w:caps w:val="0"/>
          <w:color w:val="333333"/>
          <w:spacing w:val="0"/>
          <w:kern w:val="0"/>
          <w:szCs w:val="2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  <w:rPr>
          <w:rStyle w:val="14"/>
          <w:rFonts w:hint="default" w:ascii="tahoma" w:hAnsi="tahoma" w:eastAsia="tahoma" w:cs="tahoma"/>
          <w:b w:val="0"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14"/>
          <w:rFonts w:ascii="tahoma" w:hAnsi="tahoma" w:eastAsia="tahoma" w:cs="tahoma"/>
          <w:b w:val="0"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生活大实惠：O2O</w:t>
      </w:r>
      <w:r>
        <w:rPr>
          <w:rStyle w:val="14"/>
          <w:rFonts w:hint="default" w:ascii="tahoma" w:hAnsi="tahoma" w:eastAsia="tahoma" w:cs="tahoma"/>
          <w:b w:val="0"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优惠券使用预测</w:t>
      </w:r>
    </w:p>
    <w:p>
      <w:pPr>
        <w:keepNext w:val="0"/>
        <w:keepLines w:val="0"/>
        <w:widowControl/>
        <w:suppressLineNumbers w:val="0"/>
        <w:jc w:val="both"/>
        <w:outlineLvl w:val="0"/>
        <w:rPr>
          <w:rStyle w:val="1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</w:pPr>
      <w:bookmarkStart w:id="0" w:name="_Toc1036394458"/>
      <w:r>
        <w:rPr>
          <w:rStyle w:val="1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赛题背景：</w:t>
      </w:r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Style w:val="1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随着移动设备的完善和普及，移动互联网+各行各业进入了高速发展阶段，这其中以O2O（Online to Offline）消费最为吸引眼球。据不完全统计，O2O行业估值上亿的创业公司至少有10家，也不乏百亿巨头的身影。O2O行业天然关联数亿消费者，各类APP每天记录了超过百亿条用户行为和位置记录，因而成为大数据科研和商业化运营的最佳结合点之一。 以优惠券盘活老用户或吸引新客户进店消费是O2O的一种重要营销方式。然而随机投放的优惠券对多数用户造成无意义的干扰。对商家而言，滥发的优惠券可能降低品牌声誉，同时难以估算营销成本。 个性化投放是提高优惠券核销率的重要技术，它可以让具有一定偏好的消费者得到真正的实惠，同时赋予商家更强的营销能力。本次大赛为参赛选手提供了O2O场景相关的丰富数据，希望参赛选手通过分析建模，精准预测用户是否会在规定时间内使用相应优惠券。</w:t>
      </w:r>
    </w:p>
    <w:p>
      <w:pPr>
        <w:keepNext w:val="0"/>
        <w:keepLines w:val="0"/>
        <w:widowControl/>
        <w:suppressLineNumbers w:val="0"/>
        <w:jc w:val="both"/>
        <w:outlineLvl w:val="0"/>
        <w:rPr>
          <w:rStyle w:val="1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</w:pPr>
      <w:bookmarkStart w:id="1" w:name="_Toc774344481"/>
      <w:r>
        <w:rPr>
          <w:rStyle w:val="1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赛题任务：</w:t>
      </w:r>
      <w:bookmarkEnd w:id="1"/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 xml:space="preserve">通过分析线上和线下的数据分析，预测用户在2016年7月领取优惠券后15天以内的使用情况。 </w:t>
      </w:r>
    </w:p>
    <w:p>
      <w:pPr>
        <w:keepNext w:val="0"/>
        <w:keepLines w:val="0"/>
        <w:widowControl/>
        <w:suppressLineNumbers w:val="0"/>
        <w:jc w:val="left"/>
        <w:rPr>
          <w:rStyle w:val="14"/>
          <w:rFonts w:hint="default" w:ascii="DejaVu Sans Mono" w:hAnsi="DejaVu Sans Mono" w:eastAsia="tahoma" w:cs="DejaVu Sans Mono"/>
          <w:b/>
          <w:bCs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提供数据：</w:t>
      </w:r>
      <w:r>
        <w:rPr>
          <w:rStyle w:val="14"/>
          <w:rFonts w:hint="default" w:ascii="DejaVu Sans Mono" w:hAnsi="DejaVu Sans Mono" w:eastAsia="tahoma" w:cs="DejaVu Sans Mono"/>
          <w:b/>
          <w:bCs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ccf_offline_stage1_test_revised.csv，ccf_offline_stage1_train.csv，ccf_online_stage1_train.csv，sample_submission.csv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</w:pPr>
      <w:bookmarkStart w:id="2" w:name="_Toc2102488040"/>
      <w:r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字段表：</w:t>
      </w:r>
      <w:bookmarkEnd w:id="2"/>
    </w:p>
    <w:p>
      <w:pPr>
        <w:keepNext w:val="0"/>
        <w:keepLines w:val="0"/>
        <w:widowControl/>
        <w:suppressLineNumbers w:val="0"/>
        <w:jc w:val="center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Table 1: 用户线下消费和优惠券领取行为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(ccf_offline_stage1_train.csv)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6771"/>
      </w:tblGrid>
      <w:tr>
        <w:tc>
          <w:tcPr>
            <w:tcW w:w="175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b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b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Field</w:t>
            </w:r>
          </w:p>
        </w:tc>
        <w:tc>
          <w:tcPr>
            <w:tcW w:w="677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b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b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Description</w:t>
            </w:r>
          </w:p>
        </w:tc>
      </w:tr>
      <w:tr>
        <w:tc>
          <w:tcPr>
            <w:tcW w:w="175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User_id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用户ID</w:t>
            </w:r>
          </w:p>
        </w:tc>
      </w:tr>
      <w:tr>
        <w:tc>
          <w:tcPr>
            <w:tcW w:w="175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Merchant_id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商户ID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Coupon_id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优惠券ID：null表示无优惠券消费，此时Discount_rate和Date_received字段无意义</w:t>
            </w:r>
          </w:p>
        </w:tc>
      </w:tr>
      <w:tr>
        <w:tc>
          <w:tcPr>
            <w:tcW w:w="175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Discount_rate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优惠率：x \in [0,1]代表折扣率；x:y表示满x减y。单位是元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Distance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user经常活动的地点离该merchant的最近门店距离是x*500米（如果是连锁店，则取最近的一家门店），x\in[0,10]；null表示无此信息，0表示低于500米，10表示大于5公里；</w:t>
            </w:r>
          </w:p>
        </w:tc>
      </w:tr>
      <w:tr>
        <w:tc>
          <w:tcPr>
            <w:tcW w:w="175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Date_received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领取优惠券日期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Date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消费日期：如果Date=null &amp; Coupon_id != null，该记录表示领取优惠券但没有使用，即负样本；如果Date!=null &amp; Coupon_id = null，则表示普通消费日期；如果Date!=null &amp; Coupon_id != null，则表示用优惠券消费日期，即正样本；</w:t>
            </w:r>
          </w:p>
        </w:tc>
      </w:tr>
    </w:tbl>
    <w:p>
      <w:pPr>
        <w:keepNext w:val="0"/>
        <w:keepLines w:val="0"/>
        <w:widowControl/>
        <w:suppressLineNumbers w:val="0"/>
        <w:jc w:val="both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Table 2: 用户线上点击/消费和优惠券领取行为(cf_online_stage1_train.csv)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6771"/>
      </w:tblGrid>
      <w:tr>
        <w:tc>
          <w:tcPr>
            <w:tcW w:w="175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b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b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Field</w:t>
            </w:r>
          </w:p>
        </w:tc>
        <w:tc>
          <w:tcPr>
            <w:tcW w:w="677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b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b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Description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User_id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用户ID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Merchant_id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商户ID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Action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0 点击， 1购买，2领取优惠券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Coupon_id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优惠券ID：null表示无优惠券消费，此时Discount_rate和Date_received字段无意义。“fixed”表示该交易是限时低价活动。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Discount_rate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优惠率：x \in [0,1]代表折扣率；x:y表示满x减y；“fixed”表示低价限时优惠；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Date_received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领取优惠券日期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Date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消费日期：如果Date=null &amp; Coupon_id != null，该记录表示领取优惠券但没有使用；如果Date!=null &amp; Coupon_id = null，则表示普通消费日期；如果Date!=null &amp; Coupon_id != null，则表示用优惠券消费日期；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Table 3：用户O2O线下优惠券使用预测样本(ccf_offline_stage1_test_revised.csv)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6771"/>
      </w:tblGrid>
      <w:tr>
        <w:tc>
          <w:tcPr>
            <w:tcW w:w="175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b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b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Field</w:t>
            </w:r>
          </w:p>
        </w:tc>
        <w:tc>
          <w:tcPr>
            <w:tcW w:w="677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b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b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Description</w:t>
            </w:r>
          </w:p>
        </w:tc>
      </w:tr>
      <w:tr>
        <w:tc>
          <w:tcPr>
            <w:tcW w:w="175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User_id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用户ID</w:t>
            </w:r>
          </w:p>
        </w:tc>
      </w:tr>
      <w:tr>
        <w:tc>
          <w:tcPr>
            <w:tcW w:w="175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Merchant_id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商户ID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Coupon_id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优惠券ID：null表示无优惠券消费，此时Discount_rate和Date_received字段无意义</w:t>
            </w:r>
          </w:p>
        </w:tc>
      </w:tr>
      <w:tr>
        <w:tc>
          <w:tcPr>
            <w:tcW w:w="175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Discount_rate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优惠率：x \in [0,1]代表折扣率；x:y表示满x减y。单位是元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Distance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user经常活动的地点离该merchant的最近门店距离是x*500米（如果是连锁店，则取最近的一家门店），x\in[0,10]；null表示无此信息，0表示低于500米，10表示大于5公里；</w:t>
            </w:r>
          </w:p>
        </w:tc>
      </w:tr>
      <w:tr>
        <w:tc>
          <w:tcPr>
            <w:tcW w:w="175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Date_received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领取优惠券日期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Table 4：选手提交文件字段，其中user_id,coupon_id和date_received均来自Table 3,而Probability为预测值</w:t>
      </w:r>
    </w:p>
    <w:p>
      <w:pPr>
        <w:keepNext w:val="0"/>
        <w:keepLines w:val="0"/>
        <w:widowControl/>
        <w:suppressLineNumbers w:val="0"/>
        <w:jc w:val="center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6771"/>
      </w:tblGrid>
      <w:tr>
        <w:tc>
          <w:tcPr>
            <w:tcW w:w="175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b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b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Field</w:t>
            </w:r>
          </w:p>
        </w:tc>
        <w:tc>
          <w:tcPr>
            <w:tcW w:w="677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b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b/>
                <w:bCs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Description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User_id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用户ID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Merchant_id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商户ID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Coupon_id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优惠券ID：null表示无优惠券消费，此时Discount_rate和Date_received字段无意义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Date_received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领取优惠券日期</w:t>
            </w:r>
          </w:p>
        </w:tc>
      </w:tr>
      <w:tr>
        <w:tc>
          <w:tcPr>
            <w:tcW w:w="17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Probability</w:t>
            </w:r>
          </w:p>
        </w:tc>
        <w:tc>
          <w:tcPr>
            <w:tcW w:w="67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eastAsia="zh-CN" w:bidi="ar"/>
              </w:rPr>
              <w:t>15天内用券概率，由参赛选手给出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</w:pPr>
      <w:bookmarkStart w:id="3" w:name="_Toc522062787"/>
      <w:r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数据探索：</w:t>
      </w:r>
      <w:bookmarkEnd w:id="3"/>
    </w:p>
    <w:p>
      <w:pPr>
        <w:keepNext w:val="0"/>
        <w:keepLines w:val="0"/>
        <w:widowControl/>
        <w:suppressLineNumbers w:val="0"/>
        <w:jc w:val="left"/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首先对所给的数据进行预处理分析，对给予的几个基本数据集进行分析。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ind w:left="420" w:leftChars="0" w:firstLine="0" w:firstLineChars="0"/>
        <w:jc w:val="left"/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对于ccf_online_stage1_train.csv文件中给出的用户线上消费用户券的情况，如下：</w:t>
      </w:r>
    </w:p>
    <w:p>
      <w:pPr>
        <w:keepNext w:val="0"/>
        <w:keepLines w:val="0"/>
        <w:widowControl/>
        <w:suppressLineNumbers w:val="0"/>
        <w:jc w:val="left"/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drawing>
          <wp:inline distT="0" distB="0" distL="114300" distR="114300">
            <wp:extent cx="5271770" cy="301879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从文件的title可知该数据集共有8个属性:User_id, Merchant_id, Action, Coupon_id, Discount_rate, Date_received, Date。其中数据类型如下: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68595" cy="235839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发现on_line训练集中共有11429826个样本，现对样本中的八个属性做缺省分析。通过groupby语句，对八个属性按属性值分类处理(类似决策树),因为groupby过滤了空值，所以可以间接得到每个属性的缺失数量。代码如下：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67960" cy="2310130"/>
            <wp:effectExtent l="0" t="0" r="88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结果：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0500" cy="1995805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分组有异常数据即表示，该在table中该属性下有为null的属性值，缺失数量便是该属性中null属性值的数量。通过分析得知Coupon_id,Distcount_rate,Date_received的null值相同，现猜想，三者是否同时为null。验证代码如下：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67960" cy="28638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3675" cy="60198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这与上面的缺失数量相吻合，说明三个属性是同时为null，严格来说是Coupon_id为null时，则Discount_rate和Date_received也为null，这证明了Table栏中所言，“Coupon_id为null表示无用户券消费时，Discount_rate和Date_received字段无意义”。除此外，发现Date项有65万之多数据为空。通过分析得知，Date为空时Coupon_id必然不为空，这与Table栏中所言“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如果Date=null &amp; Coupon_id != null，该记录表示领取优惠券但没有使用</w:t>
      </w:r>
      <w:r>
        <w:rPr>
          <w:rFonts w:hint="default"/>
          <w:lang w:eastAsia="zh-CN"/>
        </w:rPr>
        <w:t>”。相吻合。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69900"/>
            <wp:effectExtent l="0" t="0" r="698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28540" cy="5143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通过上面的分析，发现online数据集中的数据都是正常的，虽然也有不少项为null，但是其依然蕴含了某种特殊的信息，并没有真正意义上的异常数据，都是有用的数据，也就不需要了对online的数据预处理（例如对缺失项按照均值，众数进行填充，或则直接删掉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hint="default"/>
          <w:lang w:eastAsia="zh-CN"/>
        </w:rPr>
      </w:pPr>
      <w:r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对于ccf_offline_stage1_train.csv文件中给出的用户线下消费用户券的情况，如下：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leftChars="0"/>
        <w:jc w:val="left"/>
      </w:pPr>
      <w:r>
        <w:drawing>
          <wp:inline distT="0" distB="0" distL="114300" distR="114300">
            <wp:extent cx="5266055" cy="2095500"/>
            <wp:effectExtent l="0" t="0" r="1079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>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</w:pPr>
      <w:r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从文件的title可知该数据集共有7个属性性:User_id,Merchant_id,Coupon_id,Discount_rate,Distance,Date_received,Date。其中数据类型如下: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leftChars="0"/>
        <w:jc w:val="left"/>
      </w:pPr>
      <w:r>
        <w:drawing>
          <wp:inline distT="0" distB="0" distL="114300" distR="114300">
            <wp:extent cx="5270500" cy="2342515"/>
            <wp:effectExtent l="0" t="0" r="635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通过和上面处理online数据集同样的方式，可得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jc w:val="left"/>
      </w:pPr>
      <w:r>
        <w:drawing>
          <wp:inline distT="0" distB="0" distL="114300" distR="114300">
            <wp:extent cx="5273040" cy="1256665"/>
            <wp:effectExtent l="0" t="0" r="381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firstLine="420" w:firstLineChars="0"/>
        <w:jc w:val="left"/>
        <w:rPr>
          <w:rFonts w:hint="default"/>
          <w:lang w:eastAsia="zh-CN"/>
        </w:rPr>
      </w:pPr>
      <w:r>
        <w:t>发现和online数据集一样，</w:t>
      </w:r>
      <w:r>
        <w:rPr>
          <w:rFonts w:hint="default"/>
          <w:lang w:eastAsia="zh-CN"/>
        </w:rPr>
        <w:t>Coupon_id为null时，则Discount_rate和Date_received也为null。即没有领取到优惠券时，折扣率和优惠券领取时间数据也就不存在，符合现实逻辑。同样offline数据集中也存在只要Date为空时Coupon_id必然不为空的情况。这表明存在不少领取了优惠券但是没有使用的情况。结合online数据集，发现这种现象很是奇怪，即只要用户没有消费，那他一定领取了优惠券，从概率上看，样本数据有点不合逻辑。除此外，发现offline数据集中distance项有null，即缺少了对应的user经常活动的地点离该merchant的最近门店的距离，通过分析发现这些缺失的distance对应的用户领取的消费券</w:t>
      </w:r>
      <w:r>
        <w:rPr>
          <w:rFonts w:hint="default"/>
          <w:color w:val="FF0000"/>
          <w:lang w:eastAsia="zh-CN"/>
        </w:rPr>
        <w:t>都不为空</w:t>
      </w:r>
      <w:r>
        <w:rPr>
          <w:rFonts w:hint="default"/>
          <w:lang w:eastAsia="zh-CN"/>
        </w:rPr>
        <w:t>，有点匪夷所思。难不成时门店的员工的内部消费？但是从Distance属性值上来分析x in [0,10]覆盖了所有大于等于0的距离，那么员工应该也在这个范围内啊，不是很能理解。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hint="default"/>
          <w:lang w:eastAsia="zh-CN"/>
        </w:rPr>
      </w:pPr>
      <w:r>
        <w:rPr>
          <w:rStyle w:val="14"/>
          <w:rFonts w:hint="default" w:ascii="DejaVu Sans Mono" w:hAnsi="DejaVu Sans Mono" w:eastAsia="tahoma" w:cs="DejaVu Sans Mono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对于ccf_offline_stage1_train.csv文件中给出的用户线下消费用户券的情况，如下：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leftChars="0"/>
        <w:jc w:val="left"/>
      </w:pPr>
      <w:r>
        <w:drawing>
          <wp:inline distT="0" distB="0" distL="114300" distR="114300">
            <wp:extent cx="5266055" cy="2030095"/>
            <wp:effectExtent l="0" t="0" r="1079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ccf_offline_stage1_test_revised是要预测的用户在2016年7月领取优惠券的测试集。其中有6个属性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jc w:val="left"/>
        <w:rPr>
          <w:rFonts w:hint="default"/>
        </w:rPr>
      </w:pPr>
      <w:r>
        <w:rPr>
          <w:rFonts w:hint="eastAsia"/>
        </w:rPr>
        <w:t>User_id,Merchant_id,Coupon_id,Discount_rate,Distance,Date_received</w:t>
      </w:r>
      <w:r>
        <w:rPr>
          <w:rFonts w:hint="default"/>
        </w:rPr>
        <w:t>。显然这些与offline数据集的6集基本属性是一致的，我们的目标便是根据这6个属性来预测该用户在领取优惠券15天内使用该券的概率。分析得知除了少部分Distance存在null缺失量，其他数据正常。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：以上通过上述简单的分析，发现只有在线下的数据集中Distance部分有缺失，而在实际给出的测试集中也有Distance为Null的情况，也就是说这个Distance属性无论缺失与否都对最终模型的建立有着重要的作用，至于其他属性诸如Coupon_id之类的其为null蕴含这特殊的信息(没有领取到优惠券等等)。所以对于给定的数据集并不需要在缺失项上的填充或删除等处理，这些数据都是有意义的。以上主要针对了给定的数据集数据项是否缺失那一块进行了分析，实际在根据个属性groupby中也发现了不少有用的信息，比如说在Online数据集中关于Discount_rate那一项，发现只有”x：y“型（满x减y）和fixed（低价限时优惠），并不存在折扣率。不少用户(User_id)同时出现在online和offline数据集中(这一点在用户行为分析上十分重要)，而且通过进一步分析发现在test数据集中的绝大多数用户（User_id）和绝大部分商家（Merchant_id）都有出现在online和offline数据集中，优惠券虽然没有出现在online和offline中，但是其对应的折扣率（Discount_rate）有出现过。综上，从主要的两份原始数据集(online和offline)中，我们可以从online数据集中提取到与用户相关的线上特征（网上浏览习惯(点击率，领取率等等)），而offline数据集则可以提取到更加丰富的特征：用户的线下特征（网上浏览习惯，用户领取优惠券并使用的概率，用户平均核销优惠券次数，用户最喜欢消费的工作日等等），商家的相关特征（商家优惠券被领取的次数，商家优惠券领取后核销的次数，商家优惠券被核销的平均时间，商家分发的最受欢迎的优惠券……），用户和商家的交互特征（商家的回头客比例，用户对商家的惠顾率，用户对折扣优惠券的使用比例等等），优惠券的相关特征（优惠券类型，优惠券的领取时间，领取次数最多的优惠券类型，核销率最高的优惠券类型……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firstLine="420" w:firstLineChars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jc w:val="left"/>
        <w:outlineLvl w:val="0"/>
        <w:rPr>
          <w:rFonts w:hint="default"/>
          <w:lang w:eastAsia="zh-CN"/>
        </w:rPr>
      </w:pPr>
      <w:bookmarkStart w:id="4" w:name="_Toc1155853197"/>
      <w:r>
        <w:rPr>
          <w:rFonts w:hint="default"/>
          <w:lang w:eastAsia="zh-CN"/>
        </w:rPr>
        <w:t>数据集划分：</w:t>
      </w:r>
      <w:bookmarkEnd w:id="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对于这种给定一段时间的数据集要预测未来n天的情况的问题，选择使用滑窗法来对原始训练集的划分，这样可以充分利用到原始数据，尤其是在测试集上，可以利用已知的Label进行验证模型。特征区间划分的越小，得到的训练数据集越多。我的划分方案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jc w:val="center"/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预测区间（提取Label）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特征区间（提取Feature）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训练集1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20160401~20160430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20160101~20160331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训练集2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20160501~20160531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20160201~20160430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验证集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20160601~20160630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20160201~20160531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测试集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20160701~20160731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425"/>
              </w:tabs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20160301~20160531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代码如下：</w:t>
      </w:r>
      <w:r>
        <w:rPr>
          <w:rFonts w:hint="default"/>
          <w:lang w:eastAsia="zh-CN"/>
        </w:rPr>
        <w:t>(详见data_split.py文件)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jc w:val="left"/>
      </w:pPr>
      <w:r>
        <w:drawing>
          <wp:inline distT="0" distB="0" distL="114300" distR="114300">
            <wp:extent cx="5273675" cy="2919730"/>
            <wp:effectExtent l="0" t="0" r="317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jc w:val="left"/>
        <w:outlineLvl w:val="0"/>
      </w:pPr>
      <w:bookmarkStart w:id="5" w:name="_Toc1800560674"/>
      <w:r>
        <w:t>特征工程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jc w:val="left"/>
      </w:pPr>
      <w:r>
        <w:t>基于以上的数据探索，将特征分组为用户特征，商家特征，用户商家特征，优惠券特征。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5"/>
        </w:tabs>
        <w:ind w:left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一．用户特征（描述每个用户的消费喜好，可进一步分为线上，线下，线上-线下特征）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线下特征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用户领取优惠券次数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用户线下核销率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用户核销过的商家数量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用户使用所有优惠券的平均时间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用户核销优惠券的平均折扣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用户核销率最高的优惠券折扣率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用户核销的时间是否为节假日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用户核销的平均距离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等等户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线上特征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用户的记录条数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用户点击率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用户领取率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用户购买率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等等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线上-线下特征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用户线下记录的占比数户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用户用户线下核销次数的占比数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用户对同一折扣率优惠券的线下使用占比数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等等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商家特征（描述商家的受欢迎程度机器商品的被消费规律）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商家优惠券被核销率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商家优惠券被领取的次数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商家所被消费的优惠券的平均消费折扣率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商家优惠券被核销的平均时间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商家所分发的优惠券的种类数量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等等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优惠券特征（描述优惠券自身的特征及其类别的历史消费规律）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优惠券折扣率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优惠券核销率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优惠券类型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优惠券被核销的时间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等等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用户-商家特征（描述用户对某些商家的消费偏好）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用户领取该商家的优惠券次数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用户在该商家领取的优惠券的占比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用户在该商家的核销量的总占比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用户在该商家的核销率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等等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  <w:tab w:val="clear" w:pos="425"/>
        </w:tabs>
        <w:ind w:left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部分代码如下：（详见feature_extract.py文件)</w:t>
      </w:r>
      <w:bookmarkStart w:id="6" w:name="_GoBack"/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  <w:tab w:val="clear" w:pos="425"/>
        </w:tabs>
        <w:ind w:leftChars="0"/>
        <w:jc w:val="left"/>
        <w:rPr>
          <w:rFonts w:hint="default"/>
          <w:lang w:eastAsia="zh-CN"/>
        </w:rPr>
      </w:pPr>
      <w:r>
        <w:drawing>
          <wp:inline distT="0" distB="0" distL="114300" distR="114300">
            <wp:extent cx="5264785" cy="3620135"/>
            <wp:effectExtent l="0" t="0" r="1206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2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tahoma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Helvetica Neue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548184">
    <w:nsid w:val="5B1BCB58"/>
    <w:multiLevelType w:val="singleLevel"/>
    <w:tmpl w:val="5B1BCB5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8633887">
    <w:nsid w:val="5B1D1A1F"/>
    <w:multiLevelType w:val="singleLevel"/>
    <w:tmpl w:val="5B1D1A1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8634012">
    <w:nsid w:val="5B1D1A9C"/>
    <w:multiLevelType w:val="singleLevel"/>
    <w:tmpl w:val="5B1D1A9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8634227">
    <w:nsid w:val="5B1D1B73"/>
    <w:multiLevelType w:val="singleLevel"/>
    <w:tmpl w:val="5B1D1B7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8634335">
    <w:nsid w:val="5B1D1BDF"/>
    <w:multiLevelType w:val="singleLevel"/>
    <w:tmpl w:val="5B1D1BD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8634248">
    <w:nsid w:val="5B1D1B88"/>
    <w:multiLevelType w:val="singleLevel"/>
    <w:tmpl w:val="5B1D1B8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8634359">
    <w:nsid w:val="5B1D1BF7"/>
    <w:multiLevelType w:val="singleLevel"/>
    <w:tmpl w:val="5B1D1BF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8634391">
    <w:nsid w:val="5B1D1C17"/>
    <w:multiLevelType w:val="singleLevel"/>
    <w:tmpl w:val="5B1D1C1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8634564">
    <w:nsid w:val="5B1D1CC4"/>
    <w:multiLevelType w:val="singleLevel"/>
    <w:tmpl w:val="5B1D1CC4"/>
    <w:lvl w:ilvl="0" w:tentative="1">
      <w:start w:val="2"/>
      <w:numFmt w:val="chineseCounting"/>
      <w:suff w:val="nothing"/>
      <w:lvlText w:val="%1．"/>
      <w:lvlJc w:val="left"/>
    </w:lvl>
  </w:abstractNum>
  <w:abstractNum w:abstractNumId="1528634641">
    <w:nsid w:val="5B1D1D11"/>
    <w:multiLevelType w:val="singleLevel"/>
    <w:tmpl w:val="5B1D1D1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8634901">
    <w:nsid w:val="5B1D1E15"/>
    <w:multiLevelType w:val="singleLevel"/>
    <w:tmpl w:val="5B1D1E15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8635044">
    <w:nsid w:val="5B1D1EA4"/>
    <w:multiLevelType w:val="singleLevel"/>
    <w:tmpl w:val="5B1D1EA4"/>
    <w:lvl w:ilvl="0" w:tentative="1">
      <w:start w:val="4"/>
      <w:numFmt w:val="chineseCounting"/>
      <w:suff w:val="nothing"/>
      <w:lvlText w:val="%1．"/>
      <w:lvlJc w:val="left"/>
    </w:lvl>
  </w:abstractNum>
  <w:abstractNum w:abstractNumId="1528635064">
    <w:nsid w:val="5B1D1EB8"/>
    <w:multiLevelType w:val="singleLevel"/>
    <w:tmpl w:val="5B1D1EB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8548184"/>
  </w:num>
  <w:num w:numId="2">
    <w:abstractNumId w:val="1528633887"/>
  </w:num>
  <w:num w:numId="3">
    <w:abstractNumId w:val="1528634012"/>
  </w:num>
  <w:num w:numId="4">
    <w:abstractNumId w:val="1528634227"/>
  </w:num>
  <w:num w:numId="5">
    <w:abstractNumId w:val="1528634335"/>
  </w:num>
  <w:num w:numId="6">
    <w:abstractNumId w:val="1528634248"/>
  </w:num>
  <w:num w:numId="7">
    <w:abstractNumId w:val="1528634359"/>
  </w:num>
  <w:num w:numId="8">
    <w:abstractNumId w:val="1528634391"/>
  </w:num>
  <w:num w:numId="9">
    <w:abstractNumId w:val="1528634564"/>
  </w:num>
  <w:num w:numId="10">
    <w:abstractNumId w:val="1528634641"/>
  </w:num>
  <w:num w:numId="11">
    <w:abstractNumId w:val="1528634901"/>
  </w:num>
  <w:num w:numId="12">
    <w:abstractNumId w:val="1528635044"/>
  </w:num>
  <w:num w:numId="13">
    <w:abstractNumId w:val="15286350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F5363"/>
    <w:rsid w:val="0BE7252E"/>
    <w:rsid w:val="175EA79B"/>
    <w:rsid w:val="1B1F0FB8"/>
    <w:rsid w:val="1FEFFB9B"/>
    <w:rsid w:val="1FF73252"/>
    <w:rsid w:val="1FFBC2E2"/>
    <w:rsid w:val="23F6DF8C"/>
    <w:rsid w:val="2ACB64CB"/>
    <w:rsid w:val="2B577DD3"/>
    <w:rsid w:val="2CFB41C2"/>
    <w:rsid w:val="3BBCFD5C"/>
    <w:rsid w:val="3BEF4C4F"/>
    <w:rsid w:val="3DDE3525"/>
    <w:rsid w:val="3EEF82B9"/>
    <w:rsid w:val="3FE47525"/>
    <w:rsid w:val="3FF54138"/>
    <w:rsid w:val="3FF6B959"/>
    <w:rsid w:val="47BF6A46"/>
    <w:rsid w:val="4EAF4632"/>
    <w:rsid w:val="59BF2039"/>
    <w:rsid w:val="5CFE187A"/>
    <w:rsid w:val="5CFE1C07"/>
    <w:rsid w:val="5DED2E19"/>
    <w:rsid w:val="5E7F4D95"/>
    <w:rsid w:val="5E9BE41A"/>
    <w:rsid w:val="5F77045A"/>
    <w:rsid w:val="5FBFE666"/>
    <w:rsid w:val="5FFE93CB"/>
    <w:rsid w:val="6977526F"/>
    <w:rsid w:val="6B1BB6B9"/>
    <w:rsid w:val="6B5F7992"/>
    <w:rsid w:val="6B7ED954"/>
    <w:rsid w:val="6BFFE0B6"/>
    <w:rsid w:val="6DEBDFB7"/>
    <w:rsid w:val="6DF7E604"/>
    <w:rsid w:val="6E6B3003"/>
    <w:rsid w:val="6FD978E7"/>
    <w:rsid w:val="73FE026A"/>
    <w:rsid w:val="75E40C41"/>
    <w:rsid w:val="75EF2C45"/>
    <w:rsid w:val="76FF1D10"/>
    <w:rsid w:val="773DFA52"/>
    <w:rsid w:val="77578333"/>
    <w:rsid w:val="777AFB93"/>
    <w:rsid w:val="77BF9AAD"/>
    <w:rsid w:val="7A1FB6D2"/>
    <w:rsid w:val="7AFF149A"/>
    <w:rsid w:val="7BBD47AF"/>
    <w:rsid w:val="7BDFDB18"/>
    <w:rsid w:val="7BFE2900"/>
    <w:rsid w:val="7CBF1AB2"/>
    <w:rsid w:val="7CFF5363"/>
    <w:rsid w:val="7D7A3D76"/>
    <w:rsid w:val="7D7EB734"/>
    <w:rsid w:val="7DF60B8D"/>
    <w:rsid w:val="7EF7DB6F"/>
    <w:rsid w:val="7F37FDB5"/>
    <w:rsid w:val="7F729F8C"/>
    <w:rsid w:val="7F95A4AC"/>
    <w:rsid w:val="7FBF1061"/>
    <w:rsid w:val="7FCF6D7D"/>
    <w:rsid w:val="7FDE2C3E"/>
    <w:rsid w:val="7FF5C421"/>
    <w:rsid w:val="7FFF1D7A"/>
    <w:rsid w:val="7FFFC2CC"/>
    <w:rsid w:val="889366EB"/>
    <w:rsid w:val="8AF7D1C7"/>
    <w:rsid w:val="9BFA5684"/>
    <w:rsid w:val="A27F8926"/>
    <w:rsid w:val="A6EF71CD"/>
    <w:rsid w:val="A7FE23C3"/>
    <w:rsid w:val="ABFD74E1"/>
    <w:rsid w:val="B7DD9D75"/>
    <w:rsid w:val="BAEFD2AD"/>
    <w:rsid w:val="BF83C92E"/>
    <w:rsid w:val="BFFFA426"/>
    <w:rsid w:val="C9576744"/>
    <w:rsid w:val="CBEF1941"/>
    <w:rsid w:val="CF7F50A3"/>
    <w:rsid w:val="D3675F96"/>
    <w:rsid w:val="D3C9FDDF"/>
    <w:rsid w:val="D7F7752C"/>
    <w:rsid w:val="DFA358AF"/>
    <w:rsid w:val="DFCF7119"/>
    <w:rsid w:val="DFFBD62E"/>
    <w:rsid w:val="DFFF910A"/>
    <w:rsid w:val="E17FFB0B"/>
    <w:rsid w:val="E4E7DB94"/>
    <w:rsid w:val="E7FFD0B7"/>
    <w:rsid w:val="E9D60C6D"/>
    <w:rsid w:val="EB4AAFC9"/>
    <w:rsid w:val="EBB9AF2C"/>
    <w:rsid w:val="EC7FEE79"/>
    <w:rsid w:val="EDDB5CBD"/>
    <w:rsid w:val="EEFB0AEE"/>
    <w:rsid w:val="EFB94E38"/>
    <w:rsid w:val="F1B745AA"/>
    <w:rsid w:val="F5D7AE1B"/>
    <w:rsid w:val="F79A300F"/>
    <w:rsid w:val="F9AC52BD"/>
    <w:rsid w:val="FAAF781B"/>
    <w:rsid w:val="FABF1182"/>
    <w:rsid w:val="FB2D173A"/>
    <w:rsid w:val="FBD98688"/>
    <w:rsid w:val="FBDB0655"/>
    <w:rsid w:val="FBF3D080"/>
    <w:rsid w:val="FF2F63E3"/>
    <w:rsid w:val="FF2F75D3"/>
    <w:rsid w:val="FF392909"/>
    <w:rsid w:val="FF7E9A5B"/>
    <w:rsid w:val="FFAD7E2B"/>
    <w:rsid w:val="FFBD315F"/>
    <w:rsid w:val="FFBFF1E8"/>
    <w:rsid w:val="FFD58CF5"/>
    <w:rsid w:val="FFFBEE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character" w:styleId="14">
    <w:name w:val="Strong"/>
    <w:basedOn w:val="13"/>
    <w:qFormat/>
    <w:uiPriority w:val="0"/>
    <w:rPr>
      <w:b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2018-06-05T04:34:00Z</dcterms:created>
  <dc:creator>ubuntu</dc:creator>
  <cp:lastModifiedBy>ubuntu</cp:lastModifiedBy>
  <dcterms:modified xsi:type="dcterms:W3CDTF">2018-06-11T18:22:59Z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