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945E" w14:textId="77777777" w:rsidR="00A050E1" w:rsidRPr="00E8685C" w:rsidRDefault="00000000">
      <w:pPr>
        <w:pStyle w:val="Ttulo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Relatório de Inconsistências Visuais — Ícones e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Badges</w:t>
      </w:r>
      <w:proofErr w:type="spellEnd"/>
    </w:p>
    <w:p w14:paraId="7699AAC5" w14:textId="77777777" w:rsidR="00A050E1" w:rsidRPr="00E8685C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1. Ícones de Formas de Pagamento</w:t>
      </w:r>
    </w:p>
    <w:p w14:paraId="0039327E" w14:textId="77777777" w:rsidR="00A050E1" w:rsidRPr="00E8685C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1.1 Grupo de botões (Pix / Cartão / Boleto)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6000"/>
      </w:tblGrid>
      <w:tr w:rsidR="00A050E1" w:rsidRPr="00E8685C" w14:paraId="405A0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0" w:type="dxa"/>
            <w:shd w:val="clear" w:color="auto" w:fill="EFEFEF"/>
          </w:tcPr>
          <w:p w14:paraId="2D52C70B" w14:textId="77777777" w:rsidR="00A050E1" w:rsidRPr="00E8685C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685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Ícone atual</w:t>
            </w:r>
          </w:p>
        </w:tc>
        <w:tc>
          <w:tcPr>
            <w:tcW w:w="6000" w:type="dxa"/>
            <w:shd w:val="clear" w:color="auto" w:fill="EFEFEF"/>
          </w:tcPr>
          <w:p w14:paraId="5BAABE79" w14:textId="77777777" w:rsidR="00A050E1" w:rsidRPr="00E8685C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685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Problema</w:t>
            </w:r>
          </w:p>
        </w:tc>
      </w:tr>
      <w:tr w:rsidR="00A050E1" w:rsidRPr="00E8685C" w14:paraId="37B1587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591D741B" w14:textId="77777777" w:rsidR="00A050E1" w:rsidRPr="00E8685C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685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Pix</w:t>
            </w:r>
            <w:r w:rsidRPr="00E8685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— grade de pontinhos dentro de um círculo</w:t>
            </w:r>
          </w:p>
        </w:tc>
        <w:tc>
          <w:tcPr>
            <w:tcW w:w="6000" w:type="dxa"/>
          </w:tcPr>
          <w:p w14:paraId="59FC1B54" w14:textId="77777777" w:rsidR="00A050E1" w:rsidRPr="00E8685C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685C">
              <w:rPr>
                <w:rFonts w:ascii="Arial" w:hAnsi="Arial" w:cs="Arial"/>
                <w:color w:val="000000" w:themeColor="text1"/>
                <w:sz w:val="24"/>
                <w:szCs w:val="24"/>
              </w:rPr>
              <w:t>Não é o símbolo oficial do Pix. O usuário reconhece o Pix pelo seu logotipo específico (um "laço"/infinito estilizado formado por dois triângulos e um X central), não por um ícone genérico de grade. Isso quebra o reconhecimento imediato da marca.</w:t>
            </w:r>
          </w:p>
        </w:tc>
      </w:tr>
      <w:tr w:rsidR="00A050E1" w:rsidRPr="00E8685C" w14:paraId="3300844E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299B4C68" w14:textId="77777777" w:rsidR="00A050E1" w:rsidRPr="00E8685C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685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Cartão</w:t>
            </w:r>
            <w:r w:rsidRPr="00E8685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— retângulo com uma linha horizontal</w:t>
            </w:r>
          </w:p>
        </w:tc>
        <w:tc>
          <w:tcPr>
            <w:tcW w:w="6000" w:type="dxa"/>
          </w:tcPr>
          <w:p w14:paraId="45CF0BB2" w14:textId="77777777" w:rsidR="00A050E1" w:rsidRPr="00E8685C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685C">
              <w:rPr>
                <w:rFonts w:ascii="Arial" w:hAnsi="Arial" w:cs="Arial"/>
                <w:color w:val="000000" w:themeColor="text1"/>
                <w:sz w:val="24"/>
                <w:szCs w:val="24"/>
              </w:rPr>
              <w:t>Correto. É a metáfora universalmente usada para cartão de crédito/débito (retângulo com a tarja). Manter.</w:t>
            </w:r>
          </w:p>
        </w:tc>
      </w:tr>
      <w:tr w:rsidR="00A050E1" w:rsidRPr="00E8685C" w14:paraId="1E0A9BE1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35E0799B" w14:textId="77777777" w:rsidR="00A050E1" w:rsidRPr="00E8685C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685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Boleto</w:t>
            </w:r>
            <w:r w:rsidRPr="00E8685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— três barras verticais dentro de um retângulo</w:t>
            </w:r>
          </w:p>
        </w:tc>
        <w:tc>
          <w:tcPr>
            <w:tcW w:w="6000" w:type="dxa"/>
          </w:tcPr>
          <w:p w14:paraId="7FA5FDE8" w14:textId="77777777" w:rsidR="00A050E1" w:rsidRPr="00E8685C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685C">
              <w:rPr>
                <w:rFonts w:ascii="Arial" w:hAnsi="Arial" w:cs="Arial"/>
                <w:color w:val="000000" w:themeColor="text1"/>
                <w:sz w:val="24"/>
                <w:szCs w:val="24"/>
              </w:rPr>
              <w:t>Aceitável, mas pode ficar mais claro. Hoje lembra um ícone de "colunas" genérico. Um ícone com barras de código de barras mais finas e numerosas (como um código de barras real) comunica boleto de forma mais direta.</w:t>
            </w:r>
          </w:p>
        </w:tc>
      </w:tr>
    </w:tbl>
    <w:p w14:paraId="180ABE1D" w14:textId="77777777" w:rsidR="00A050E1" w:rsidRPr="00E8685C" w:rsidRDefault="00A050E1">
      <w:pPr>
        <w:spacing w:before="200"/>
        <w:rPr>
          <w:rFonts w:ascii="Arial" w:hAnsi="Arial" w:cs="Arial"/>
          <w:color w:val="000000" w:themeColor="text1"/>
          <w:sz w:val="24"/>
          <w:szCs w:val="24"/>
        </w:rPr>
      </w:pPr>
    </w:p>
    <w:p w14:paraId="6F2C1AED" w14:textId="77777777" w:rsidR="00A050E1" w:rsidRPr="00E8685C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1.2 Seção "Formas de Pagamento" (topo da tela)</w:t>
      </w:r>
    </w:p>
    <w:p w14:paraId="0A11DF60" w14:textId="77777777" w:rsidR="00A050E1" w:rsidRPr="00E8685C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Aqui aparece um segundo conjunto de ícones — um losango (</w:t>
      </w:r>
      <w:r w:rsidRPr="00E8685C">
        <w:rPr>
          <w:rFonts w:ascii="Cambria Math" w:hAnsi="Cambria Math" w:cs="Cambria Math"/>
          <w:color w:val="000000" w:themeColor="text1"/>
          <w:sz w:val="24"/>
          <w:szCs w:val="24"/>
        </w:rPr>
        <w:t>◇</w:t>
      </w: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), um cartão preenchido e um ícone de QR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code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— para representar, presumivelmente, os mesmos três métodos (Pix, Cartão, Boleto).</w:t>
      </w:r>
    </w:p>
    <w:p w14:paraId="6AB3214A" w14:textId="77777777" w:rsidR="00A050E1" w:rsidRPr="00E8685C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Problema central: </w:t>
      </w:r>
      <w:r w:rsidRPr="00E8685C">
        <w:rPr>
          <w:rFonts w:ascii="Arial" w:hAnsi="Arial" w:cs="Arial"/>
          <w:color w:val="000000" w:themeColor="text1"/>
          <w:sz w:val="24"/>
          <w:szCs w:val="24"/>
        </w:rPr>
        <w:t>esse conjunto usa um estilo visual diferente do primeiro (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outline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fino vs. preenchido, tamanhos e pesos de traço diferentes) e ainda troca os símbolos: o losango não comunica "Pix" e o ícone de QR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code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normalmente é associado a "escanear/pagar via QR", não a boleto. Resultado: o mesmo conceito (formas de pagamento) é representado por dois vocabulários visuais diferentes em telas próximas, o que gera ruído cognitivo — o usuário precisa reaprender o significado dos ícones a cada tela.</w:t>
      </w:r>
    </w:p>
    <w:p w14:paraId="751115A8" w14:textId="77777777" w:rsidR="00A050E1" w:rsidRPr="00E8685C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1.3 Recomendação de padronização</w:t>
      </w:r>
    </w:p>
    <w:p w14:paraId="2B78BEF3" w14:textId="77777777" w:rsidR="00A050E1" w:rsidRPr="00E8685C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Usar um único conjunto de ícones, no mesmo estilo (mesmo peso de traço, mesmo grid, mesma cor de marca), em todas as telas:</w:t>
      </w:r>
    </w:p>
    <w:p w14:paraId="52423FED" w14:textId="44EE4920" w:rsidR="00A050E1" w:rsidRPr="00E8685C" w:rsidRDefault="00000000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Pix → o símbolo oficial do Pix (disponível no Manual de Marca do Pix do Banco Central</w:t>
      </w:r>
      <w:r w:rsidR="00E8685C">
        <w:rPr>
          <w:rFonts w:ascii="Arial" w:hAnsi="Arial" w:cs="Arial"/>
          <w:color w:val="000000" w:themeColor="text1"/>
          <w:sz w:val="24"/>
          <w:szCs w:val="24"/>
        </w:rPr>
        <w:t>)</w:t>
      </w:r>
      <w:r w:rsidRPr="00E8685C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29B4428" w14:textId="77777777" w:rsidR="00A050E1" w:rsidRPr="00E8685C" w:rsidRDefault="00000000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Cartão → manter o ícone atual do primeiro grupo (retângulo com tarja) — já está correto e é o padrão de mercado.</w:t>
      </w:r>
    </w:p>
    <w:p w14:paraId="2992A34D" w14:textId="77777777" w:rsidR="00A050E1" w:rsidRPr="00E8685C" w:rsidRDefault="00000000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Boleto → ícone de código de barras (várias barras verticais finas, não três blocos largos) — é a metáfora mais reconhecida para boleto bancário.</w:t>
      </w:r>
    </w:p>
    <w:p w14:paraId="798F829B" w14:textId="77777777" w:rsidR="00A050E1" w:rsidRPr="00E8685C" w:rsidRDefault="00000000">
      <w:pPr>
        <w:spacing w:before="150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Importante: </w:t>
      </w: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não usar o ícone de QR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code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para representar boleto — QR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code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é sua própria forma de pagamento (leitura de código), e misturá-lo com boleto confunde o usuário.</w:t>
      </w:r>
    </w:p>
    <w:p w14:paraId="11927902" w14:textId="77777777" w:rsidR="00A050E1" w:rsidRPr="00E8685C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2. Inconsistência de cores nas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badges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de serviço</w:t>
      </w:r>
    </w:p>
    <w:p w14:paraId="3B390F94" w14:textId="77777777" w:rsidR="00A050E1" w:rsidRPr="00E8685C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As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tags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"Vidraceiro" aparecem em pelo menos duas cores diferentes:</w:t>
      </w:r>
    </w:p>
    <w:p w14:paraId="1717700B" w14:textId="77777777" w:rsidR="00A050E1" w:rsidRPr="00E8685C" w:rsidRDefault="00000000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Um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em tom vermelho/bordô escuro com texto branco.</w:t>
      </w:r>
    </w:p>
    <w:p w14:paraId="79321036" w14:textId="384FB492" w:rsidR="00A050E1" w:rsidRPr="00E8685C" w:rsidRDefault="00000000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Outro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em </w:t>
      </w:r>
      <w:r w:rsidR="00E8685C">
        <w:rPr>
          <w:rFonts w:ascii="Arial" w:hAnsi="Arial" w:cs="Arial"/>
          <w:color w:val="000000" w:themeColor="text1"/>
          <w:sz w:val="24"/>
          <w:szCs w:val="24"/>
        </w:rPr>
        <w:t>branco</w:t>
      </w: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com texto </w:t>
      </w:r>
      <w:r w:rsidR="00E8685C">
        <w:rPr>
          <w:rFonts w:ascii="Arial" w:hAnsi="Arial" w:cs="Arial"/>
          <w:color w:val="000000" w:themeColor="text1"/>
          <w:sz w:val="24"/>
          <w:szCs w:val="24"/>
        </w:rPr>
        <w:t>cinza</w:t>
      </w:r>
      <w:r w:rsidRPr="00E8685C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0A4ECFE" w14:textId="77777777" w:rsidR="00A050E1" w:rsidRPr="00E8685C" w:rsidRDefault="00000000">
      <w:pPr>
        <w:spacing w:before="150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Duas cores distintas para a mesma categoria de serviço passam a impressão de que são coisas diferentes, ou de que houve um erro de implementação (uso de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states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diferentes —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ex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: "normal"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vs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"erro/alerta" — sem essa intenção).</w:t>
      </w:r>
    </w:p>
    <w:p w14:paraId="22248C0A" w14:textId="77777777" w:rsidR="00A050E1" w:rsidRPr="00E8685C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Além disso, tons de vermelho carregam, por convenção universal de UI, uma conotação de erro, alerta ou perigo (campos inválidos, saldo negativo, cancelamento). Usar vermelho para uma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neutra de categoria de serviço ("Vidraceiro") transmite uma sensação involuntária de que algo está errado, mesmo quando não está.</w:t>
      </w:r>
    </w:p>
    <w:p w14:paraId="6F1D2536" w14:textId="77777777" w:rsidR="00A050E1" w:rsidRPr="00E8685C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Recomendação</w:t>
      </w:r>
    </w:p>
    <w:p w14:paraId="4C2970B1" w14:textId="77777777" w:rsidR="00A050E1" w:rsidRPr="00E8685C" w:rsidRDefault="00000000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Definir uma cor única por tipo de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ex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de categoria de serviço sempre na mesma cor,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tag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>/tópico como "#MERCO" sempre em outra cor fixa).</w:t>
      </w:r>
    </w:p>
    <w:p w14:paraId="6CD51BAD" w14:textId="77777777" w:rsidR="00A050E1" w:rsidRPr="00E8685C" w:rsidRDefault="00000000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Reservar o vermelho exclusivamente para estados de erro/alerta real.</w:t>
      </w:r>
    </w:p>
    <w:p w14:paraId="4693B2D5" w14:textId="77777777" w:rsidR="00A050E1" w:rsidRPr="00E8685C" w:rsidRDefault="00000000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Para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badges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de categoria (como "Vidraceiro"), usar uma cor neutra da paleta da marca — por exemplo um tom de cinza-azulado, ou a cor primária da marca em versão "soft" (fundo claro + texto na cor primária escura), </w:t>
      </w:r>
      <w:proofErr w:type="gramStart"/>
      <w:r w:rsidRPr="00E8685C">
        <w:rPr>
          <w:rFonts w:ascii="Arial" w:hAnsi="Arial" w:cs="Arial"/>
          <w:color w:val="000000" w:themeColor="text1"/>
          <w:sz w:val="24"/>
          <w:szCs w:val="24"/>
        </w:rPr>
        <w:t>mantendo o mesmo</w:t>
      </w:r>
      <w:proofErr w:type="gram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par claro/escuro em todas as telas.</w:t>
      </w:r>
    </w:p>
    <w:p w14:paraId="2B40804E" w14:textId="77777777" w:rsidR="00A050E1" w:rsidRPr="00E8685C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3. Ícone do serviço "Colocação de espelhos"</w:t>
      </w:r>
    </w:p>
    <w:p w14:paraId="6486EB87" w14:textId="77777777" w:rsidR="00A050E1" w:rsidRPr="00E8685C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O ícone usado é um quadrado dividido em 4 quadrados menores (grade 2x2), sobre fundo bordô arredondado.</w:t>
      </w:r>
    </w:p>
    <w:p w14:paraId="270686EA" w14:textId="77777777" w:rsidR="00A050E1" w:rsidRPr="00E8685C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Problema: </w:t>
      </w:r>
      <w:r w:rsidRPr="00E8685C">
        <w:rPr>
          <w:rFonts w:ascii="Arial" w:hAnsi="Arial" w:cs="Arial"/>
          <w:color w:val="000000" w:themeColor="text1"/>
          <w:sz w:val="24"/>
          <w:szCs w:val="24"/>
        </w:rPr>
        <w:t>essa forma é a metáfora visual padrão de mercado para janela (grade de vidraça), não para espelho. Um espelho costuma ser representado por um retângulo ou oval com um brilho/reflexo diagonal, às vezes com uma base/moldura — algo que remeta a reflexo, não a divisão em painéis. Como o ícone atual é ambíguo, o usuário pode associar o serviço a "instalação de janela" em vez de "instalação de espelho", especialmente numa lista com vários serviços de vidraceiro (onde janela e espelho podem ser categorias vizinhas).</w:t>
      </w:r>
    </w:p>
    <w:p w14:paraId="407295ED" w14:textId="09495149" w:rsidR="00A050E1" w:rsidRPr="00E8685C" w:rsidRDefault="00000000">
      <w:pPr>
        <w:spacing w:before="150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Nota: </w:t>
      </w:r>
      <w:r w:rsidR="00E8685C">
        <w:rPr>
          <w:rFonts w:ascii="Arial" w:hAnsi="Arial" w:cs="Arial"/>
          <w:b/>
          <w:bCs/>
          <w:color w:val="000000" w:themeColor="text1"/>
          <w:sz w:val="24"/>
          <w:szCs w:val="24"/>
        </w:rPr>
        <w:t>7/10</w:t>
      </w:r>
      <w:r w:rsidRPr="00E8685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E8685C">
        <w:rPr>
          <w:rFonts w:ascii="Arial" w:hAnsi="Arial" w:cs="Arial"/>
          <w:color w:val="000000" w:themeColor="text1"/>
          <w:sz w:val="24"/>
          <w:szCs w:val="24"/>
        </w:rPr>
        <w:t>— a forma é limpa e se encaixa bem no padrão visual dos outros ícones (quadrado arredondado + glifo simples), mas falha no critério mais importante de um ícone, que é comunicar o conceito certo sem depender do texto ao lado. Hoje ele só "funciona" porque o rótulo "Colocação de espelhos" está escrito do lado — sem o texto, a leitura natural seria "janela".</w:t>
      </w:r>
    </w:p>
    <w:p w14:paraId="06EE738D" w14:textId="77777777" w:rsidR="00A050E1" w:rsidRPr="00E8685C" w:rsidRDefault="00000000">
      <w:pPr>
        <w:spacing w:before="150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Sugestão: </w:t>
      </w: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trocar por um glifo de espelho (retângulo/oval com uma linha diagonal de brilho no canto, ou um espelho de corpo inteiro com moldura), </w:t>
      </w:r>
      <w:proofErr w:type="gramStart"/>
      <w:r w:rsidRPr="00E8685C">
        <w:rPr>
          <w:rFonts w:ascii="Arial" w:hAnsi="Arial" w:cs="Arial"/>
          <w:color w:val="000000" w:themeColor="text1"/>
          <w:sz w:val="24"/>
          <w:szCs w:val="24"/>
        </w:rPr>
        <w:t>mantendo o mesmo</w:t>
      </w:r>
      <w:proofErr w:type="gram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fundo bordô arredondado para preservar a consistência do sistema de ícones de categoria.</w:t>
      </w:r>
    </w:p>
    <w:p w14:paraId="04D3A285" w14:textId="77777777" w:rsidR="00A050E1" w:rsidRPr="00E8685C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4. Resumo das ações</w:t>
      </w:r>
    </w:p>
    <w:p w14:paraId="460E87EE" w14:textId="77777777" w:rsidR="00A050E1" w:rsidRPr="00E8685C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Substituir o ícone de Pix genérico pelo símbolo oficial (ou ícone de raio) em todas as telas.</w:t>
      </w:r>
    </w:p>
    <w:p w14:paraId="36819778" w14:textId="77777777" w:rsidR="00A050E1" w:rsidRPr="00E8685C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Unificar o estilo dos ícones de pagamento (mesmo peso de traço, mesmo grid) entre o grupo de botões e a seção "Formas de Pagamento".</w:t>
      </w:r>
    </w:p>
    <w:p w14:paraId="249CA08D" w14:textId="77777777" w:rsidR="00A050E1" w:rsidRPr="00E8685C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>Trocar o ícone de boleto por um ícone de código de barras.</w:t>
      </w:r>
    </w:p>
    <w:p w14:paraId="27C7FF6A" w14:textId="77777777" w:rsidR="00A050E1" w:rsidRPr="00E8685C" w:rsidRDefault="00000000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Remover o ícone de QR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code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do contexto de boleto.</w:t>
      </w:r>
    </w:p>
    <w:p w14:paraId="17698677" w14:textId="77777777" w:rsidR="00E8685C" w:rsidRDefault="00000000" w:rsidP="00E8685C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Padronizar a cor da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"Vidraceiro" (e demais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badges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de categoria) em uma </w:t>
      </w:r>
      <w:r w:rsidR="00E8685C">
        <w:rPr>
          <w:rFonts w:ascii="Arial" w:hAnsi="Arial" w:cs="Arial"/>
          <w:color w:val="000000" w:themeColor="text1"/>
          <w:sz w:val="24"/>
          <w:szCs w:val="24"/>
        </w:rPr>
        <w:t xml:space="preserve">6.       </w:t>
      </w:r>
      <w:r w:rsidRPr="00E8685C">
        <w:rPr>
          <w:rFonts w:ascii="Arial" w:hAnsi="Arial" w:cs="Arial"/>
          <w:color w:val="000000" w:themeColor="text1"/>
          <w:sz w:val="24"/>
          <w:szCs w:val="24"/>
        </w:rPr>
        <w:t>única cor, fora da paleta de vermelho/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erro.Substituir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o ícone de "janela" (grade 2x2) usado em "Colocação de espelhos" por um glifo que remeta a reflexo/espelho.</w:t>
      </w:r>
    </w:p>
    <w:p w14:paraId="44AD348C" w14:textId="4E8675FF" w:rsidR="00E8685C" w:rsidRPr="00E8685C" w:rsidRDefault="00E8685C" w:rsidP="00E8685C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E8685C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Apesar dos pontos levantados, o conjunto do design aplica, em sua maioria, heurísticas inteligentes de reconhecimento: grande parte dos ícones e padrões visuais remete a sistemas já conhecidos pelo usuário, o que reduz a curva de aprendizado e favorece a usabilidade por familiaridade. Essa estratégia está alinhada à heurística de "reconhecimento em vez de memorização" (Nielsen) e cumpre boa parte dos princípios da semiótica aplicada à interface, na medida em que a maioria dos signos estáticos mantém correspondência com convenções externas ao sistema. As inconsistências apontadas são pontuais e não comprometem a leitura geral da interface, mas corrigi-las tende a aproximar ainda mais o sistema da coerência </w:t>
      </w:r>
      <w:proofErr w:type="spellStart"/>
      <w:r w:rsidRPr="00E8685C">
        <w:rPr>
          <w:rFonts w:ascii="Arial" w:hAnsi="Arial" w:cs="Arial"/>
          <w:color w:val="000000" w:themeColor="text1"/>
          <w:sz w:val="24"/>
          <w:szCs w:val="24"/>
        </w:rPr>
        <w:t>sígnica</w:t>
      </w:r>
      <w:proofErr w:type="spellEnd"/>
      <w:r w:rsidRPr="00E8685C">
        <w:rPr>
          <w:rFonts w:ascii="Arial" w:hAnsi="Arial" w:cs="Arial"/>
          <w:color w:val="000000" w:themeColor="text1"/>
          <w:sz w:val="24"/>
          <w:szCs w:val="24"/>
        </w:rPr>
        <w:t xml:space="preserve"> que o restante do design já demonstra.</w:t>
      </w:r>
    </w:p>
    <w:sectPr w:rsidR="00E8685C" w:rsidRPr="00E868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624A"/>
    <w:multiLevelType w:val="hybridMultilevel"/>
    <w:tmpl w:val="43DE0344"/>
    <w:lvl w:ilvl="0" w:tplc="C8306C12">
      <w:start w:val="1"/>
      <w:numFmt w:val="bullet"/>
      <w:lvlText w:val="●"/>
      <w:lvlJc w:val="left"/>
      <w:pPr>
        <w:ind w:left="720" w:hanging="360"/>
      </w:pPr>
    </w:lvl>
    <w:lvl w:ilvl="1" w:tplc="777C2B02">
      <w:start w:val="1"/>
      <w:numFmt w:val="bullet"/>
      <w:lvlText w:val="○"/>
      <w:lvlJc w:val="left"/>
      <w:pPr>
        <w:ind w:left="1440" w:hanging="360"/>
      </w:pPr>
    </w:lvl>
    <w:lvl w:ilvl="2" w:tplc="57DCFAFE">
      <w:start w:val="1"/>
      <w:numFmt w:val="bullet"/>
      <w:lvlText w:val="■"/>
      <w:lvlJc w:val="left"/>
      <w:pPr>
        <w:ind w:left="2160" w:hanging="360"/>
      </w:pPr>
    </w:lvl>
    <w:lvl w:ilvl="3" w:tplc="956CFFD4">
      <w:start w:val="1"/>
      <w:numFmt w:val="bullet"/>
      <w:lvlText w:val="●"/>
      <w:lvlJc w:val="left"/>
      <w:pPr>
        <w:ind w:left="2880" w:hanging="360"/>
      </w:pPr>
    </w:lvl>
    <w:lvl w:ilvl="4" w:tplc="0F2E96BA">
      <w:start w:val="1"/>
      <w:numFmt w:val="bullet"/>
      <w:lvlText w:val="○"/>
      <w:lvlJc w:val="left"/>
      <w:pPr>
        <w:ind w:left="3600" w:hanging="360"/>
      </w:pPr>
    </w:lvl>
    <w:lvl w:ilvl="5" w:tplc="01A8D574">
      <w:start w:val="1"/>
      <w:numFmt w:val="bullet"/>
      <w:lvlText w:val="■"/>
      <w:lvlJc w:val="left"/>
      <w:pPr>
        <w:ind w:left="4320" w:hanging="360"/>
      </w:pPr>
    </w:lvl>
    <w:lvl w:ilvl="6" w:tplc="7B5CE3CC">
      <w:start w:val="1"/>
      <w:numFmt w:val="bullet"/>
      <w:lvlText w:val="●"/>
      <w:lvlJc w:val="left"/>
      <w:pPr>
        <w:ind w:left="5040" w:hanging="360"/>
      </w:pPr>
    </w:lvl>
    <w:lvl w:ilvl="7" w:tplc="CF98B106">
      <w:start w:val="1"/>
      <w:numFmt w:val="bullet"/>
      <w:lvlText w:val="●"/>
      <w:lvlJc w:val="left"/>
      <w:pPr>
        <w:ind w:left="5760" w:hanging="360"/>
      </w:pPr>
    </w:lvl>
    <w:lvl w:ilvl="8" w:tplc="E3E688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902A74"/>
    <w:multiLevelType w:val="hybridMultilevel"/>
    <w:tmpl w:val="9CC6C72E"/>
    <w:lvl w:ilvl="0" w:tplc="D576AB44">
      <w:start w:val="1"/>
      <w:numFmt w:val="decimal"/>
      <w:lvlText w:val="%1."/>
      <w:lvlJc w:val="left"/>
    </w:lvl>
    <w:lvl w:ilvl="1" w:tplc="DCE00206">
      <w:numFmt w:val="decimal"/>
      <w:lvlText w:val=""/>
      <w:lvlJc w:val="left"/>
    </w:lvl>
    <w:lvl w:ilvl="2" w:tplc="F348A1AA">
      <w:numFmt w:val="decimal"/>
      <w:lvlText w:val=""/>
      <w:lvlJc w:val="left"/>
    </w:lvl>
    <w:lvl w:ilvl="3" w:tplc="87B848A4">
      <w:numFmt w:val="decimal"/>
      <w:lvlText w:val=""/>
      <w:lvlJc w:val="left"/>
    </w:lvl>
    <w:lvl w:ilvl="4" w:tplc="247AD7B2">
      <w:numFmt w:val="decimal"/>
      <w:lvlText w:val=""/>
      <w:lvlJc w:val="left"/>
    </w:lvl>
    <w:lvl w:ilvl="5" w:tplc="67DAA86C">
      <w:numFmt w:val="decimal"/>
      <w:lvlText w:val=""/>
      <w:lvlJc w:val="left"/>
    </w:lvl>
    <w:lvl w:ilvl="6" w:tplc="A6E418E6">
      <w:numFmt w:val="decimal"/>
      <w:lvlText w:val=""/>
      <w:lvlJc w:val="left"/>
    </w:lvl>
    <w:lvl w:ilvl="7" w:tplc="87E860D0">
      <w:numFmt w:val="decimal"/>
      <w:lvlText w:val=""/>
      <w:lvlJc w:val="left"/>
    </w:lvl>
    <w:lvl w:ilvl="8" w:tplc="9B3CBE54">
      <w:numFmt w:val="decimal"/>
      <w:lvlText w:val=""/>
      <w:lvlJc w:val="left"/>
    </w:lvl>
  </w:abstractNum>
  <w:num w:numId="1" w16cid:durableId="1835610281">
    <w:abstractNumId w:val="0"/>
    <w:lvlOverride w:ilvl="0">
      <w:startOverride w:val="1"/>
    </w:lvlOverride>
  </w:num>
  <w:num w:numId="2" w16cid:durableId="14854641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0E1"/>
    <w:rsid w:val="00A050E1"/>
    <w:rsid w:val="00E8685C"/>
    <w:rsid w:val="00FA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877FA"/>
  <w15:docId w15:val="{867E34A1-C2FE-4C07-A2A5-EDAF518B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969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HENRIQUE PEREIRA SOUZA LIMA</cp:lastModifiedBy>
  <cp:revision>2</cp:revision>
  <dcterms:created xsi:type="dcterms:W3CDTF">2026-09-24T21:24:00Z</dcterms:created>
  <dcterms:modified xsi:type="dcterms:W3CDTF">2026-09-24T21:35:00Z</dcterms:modified>
</cp:coreProperties>
</file>