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87cbbf882fef937dda06941d4adf4434e3015c"/>
    <w:p>
      <w:pPr>
        <w:pStyle w:val="Heading1"/>
      </w:pPr>
      <w:r>
        <w:t xml:space="preserve">Named lineage cell states of the human tumor endocannabinoidome</w:t>
      </w:r>
    </w:p>
    <w:p>
      <w:pPr>
        <w:pStyle w:val="FirstParagraph"/>
      </w:pPr>
      <w:r>
        <w:t xml:space="preserve">Chad Auld</w:t>
      </w:r>
      <w:r>
        <w:br/>
      </w:r>
      <w:r>
        <w:t xml:space="preserve">Independent researcher</w:t>
      </w:r>
      <w:r>
        <w:br/>
      </w:r>
      <w:r>
        <w:t xml:space="preserve">Correspondence: chadauld+osf@gmail.com</w:t>
      </w:r>
      <w:r>
        <w:br/>
      </w:r>
      <w:r>
        <w:t xml:space="preserve">Repository: https://github.com/cauld/scendo</w:t>
      </w:r>
      <w:r>
        <w:br/>
      </w:r>
      <w:r>
        <w:t xml:space="preserve">License: CC BY 4.0</w:t>
      </w:r>
    </w:p>
    <w:p>
      <w:pPr>
        <w:pStyle w:val="BodyText"/>
      </w:pPr>
      <w:r>
        <w:t xml:space="preserve">This is the atlas-only report of a pre-specified kill test. Confirmatory numbers and protocol files are in the GitHub repository. Protocol freeze: kill git</w:t>
      </w:r>
      <w:r>
        <w:t xml:space="preserve"> </w:t>
      </w:r>
      <w:r>
        <w:rPr>
          <w:rStyle w:val="VerbatimChar"/>
        </w:rPr>
        <w:t xml:space="preserve">3fbf310</w:t>
      </w:r>
      <w:r>
        <w:t xml:space="preserve"> </w:t>
      </w:r>
      <w:r>
        <w:t xml:space="preserve">(24 August 2026); atlas git</w:t>
      </w:r>
      <w:r>
        <w:t xml:space="preserve"> </w:t>
      </w:r>
      <w:r>
        <w:rPr>
          <w:rStyle w:val="VerbatimChar"/>
        </w:rPr>
        <w:t xml:space="preserve">2a74270</w:t>
      </w:r>
      <w:r>
        <w:t xml:space="preserve">. OSF preregistration: https://doi.org/10.17605/OSF.IO/C8KPX.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human endocannabinoid system (ECS) is often summarized as “CB1 in brain, CB2 in immune cells.” We asked where a locked nine-gene ECS list actually sits in public human tumor single-cell RNA, and whether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non-B cell-state score associates with immune-checkpoint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after B-cell, tertiary lymphoid structure (TLS), and CD8 adjustment.</w:t>
      </w:r>
    </w:p>
    <w:p>
      <w:pPr>
        <w:pStyle w:val="BodyText"/>
      </w:pPr>
      <w:r>
        <w:t xml:space="preserve">On CELLxGENE Census (</w:t>
      </w:r>
      <w:r>
        <w:rPr>
          <w:rStyle w:val="VerbatimChar"/>
        </w:rPr>
        <w:t xml:space="preserve">2025-11-08</w:t>
      </w:r>
      <w:r>
        <w:t xml:space="preserve">) and a pinned BLCA fallback, three lineage buckets carry an ECS state:</w:t>
      </w:r>
      <w:r>
        <w:t xml:space="preserve"> </w:t>
      </w:r>
      <w:r>
        <w:rPr>
          <w:b/>
          <w:bCs/>
        </w:rPr>
        <w:t xml:space="preserve">B/plasma</w:t>
      </w:r>
      <w:r>
        <w:t xml:space="preserve">,</w:t>
      </w:r>
      <w:r>
        <w:t xml:space="preserve"> </w:t>
      </w:r>
      <w:r>
        <w:rPr>
          <w:b/>
          <w:bCs/>
        </w:rPr>
        <w:t xml:space="preserve">Malignant/epithelial</w:t>
      </w:r>
      <w:r>
        <w:t xml:space="preserve">, and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 The primary display name is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, chosen before any ICI outcome file was opened. In bulk TCGA the nine-gene score is distinguishable from B-cell and TLS abundance (|r| &lt; 0.6 in pooled n=3664 and in TCGA-BLCA n=426). A locked 12-type Census expansion adds six types with the same tables and skips six with a documented reason. Myeloid and T/NK catalog rows are not confirmatory named states. Stromal subtypes are display only.</w:t>
      </w:r>
    </w:p>
    <w:p>
      <w:pPr>
        <w:pStyle w:val="BodyText"/>
      </w:pPr>
      <w:r>
        <w:t xml:space="preserve">The same frozen Stromal/other score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associate with atezolizumab response in IMvigor210 after B + TLS + CD8 (Model 1 n=298, ECS OR 1.189, 95% CI 0.551–2.563). Overall survival, unadjusted models, a TMB/PD-L1 robustness fit, and two small melanoma GEO sets do not carry this claim. This is a named-state map with a frozen negative ICI chapter. It is not a test of cannabis therapy and does not show that CB2 is a clinical checkpoint.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Where the ECS sits in human tumors is easy to slogan and hard to locate. Receptor-and-enzyme lists are short; public single-cell atlases are large;</w:t>
      </w:r>
      <w:r>
        <w:t xml:space="preserve"> </w:t>
      </w:r>
      <w:r>
        <w:rPr>
          <w:i/>
          <w:iCs/>
        </w:rPr>
        <w:t xml:space="preserve">CNR2</w:t>
      </w:r>
      <w:r>
        <w:t xml:space="preserve"> </w:t>
      </w:r>
      <w:r>
        <w:t xml:space="preserve">in bulk tumor RNA can track B cells, and B cells / TLS already predict checkpoint outcomes in several cancers. A map without that confound is a resource. An ICI signature without a map is another</w:t>
      </w:r>
      <w:r>
        <w:t xml:space="preserve"> </w:t>
      </w:r>
      <w:r>
        <w:rPr>
          <w:i/>
          <w:iCs/>
        </w:rPr>
        <w:t xml:space="preserve">CNR2</w:t>
      </w:r>
      <w:r>
        <w:t xml:space="preserve"> </w:t>
      </w:r>
      <w:r>
        <w:t xml:space="preserve">Kaplan–Meier.</w:t>
      </w:r>
    </w:p>
    <w:p>
      <w:pPr>
        <w:pStyle w:val="BodyText"/>
      </w:pPr>
      <w:r>
        <w:t xml:space="preserve">This paper reports the atlas-only path of a pre-specified kill test. Gate A asked whether ECS signal exists in more than one lineage and whether a non-B state is distinguishable from B-cell / TLS abundance. Gate B asked whether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non-B score associates with IMvigor210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after B + TLS + CD8. Gate A passed. Gate B failed. The decision was to write the map and report the ICI chapter as negative, not to hunt a new ICI model.</w:t>
      </w:r>
    </w:p>
    <w:p>
      <w:pPr>
        <w:pStyle w:val="BodyText"/>
      </w:pPr>
      <w:r>
        <w:t xml:space="preserve">We do not claim that cannabis or CBD/THC treats cancer, that patients should change cannabis during PD-1 blockade, or that CB2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immune checkpoint in the clinical sense.</w:t>
      </w:r>
    </w:p>
    <w:bookmarkEnd w:id="10"/>
    <w:bookmarkStart w:id="25" w:name="results"/>
    <w:p>
      <w:pPr>
        <w:pStyle w:val="Heading2"/>
      </w:pPr>
      <w:r>
        <w:t xml:space="preserve">Results</w:t>
      </w:r>
    </w:p>
    <w:bookmarkStart w:id="11" w:name="X4fbe59814a918125e0ddf4f40392723616bbbd1"/>
    <w:p>
      <w:pPr>
        <w:pStyle w:val="Heading3"/>
      </w:pPr>
      <w:r>
        <w:t xml:space="preserve">A nine-gene ECS is detectable as lineage means, not as a</w:t>
      </w:r>
      <w:r>
        <w:t xml:space="preserve"> </w:t>
      </w:r>
      <w:r>
        <w:rPr>
          <w:i/>
          <w:iCs/>
        </w:rPr>
        <w:t xml:space="preserve">CNR2</w:t>
      </w:r>
      <w:r>
        <w:t xml:space="preserve">-only slogan</w:t>
      </w:r>
    </w:p>
    <w:p>
      <w:pPr>
        <w:pStyle w:val="FirstParagraph"/>
      </w:pPr>
      <w:r>
        <w:t xml:space="preserve">The confirmatory gene list is</w:t>
      </w:r>
      <w:r>
        <w:t xml:space="preserve"> </w:t>
      </w:r>
      <w:r>
        <w:rPr>
          <w:i/>
          <w:iCs/>
        </w:rPr>
        <w:t xml:space="preserve">CNR1</w:t>
      </w:r>
      <w:r>
        <w:t xml:space="preserve">,</w:t>
      </w:r>
      <w:r>
        <w:t xml:space="preserve"> </w:t>
      </w:r>
      <w:r>
        <w:rPr>
          <w:i/>
          <w:iCs/>
        </w:rPr>
        <w:t xml:space="preserve">CNR2</w:t>
      </w:r>
      <w:r>
        <w:t xml:space="preserve">,</w:t>
      </w:r>
      <w:r>
        <w:t xml:space="preserve"> </w:t>
      </w:r>
      <w:r>
        <w:rPr>
          <w:i/>
          <w:iCs/>
        </w:rPr>
        <w:t xml:space="preserve">GPR55</w:t>
      </w:r>
      <w:r>
        <w:t xml:space="preserve">,</w:t>
      </w:r>
      <w:r>
        <w:t xml:space="preserve"> </w:t>
      </w:r>
      <w:r>
        <w:rPr>
          <w:i/>
          <w:iCs/>
        </w:rPr>
        <w:t xml:space="preserve">TRPV1</w:t>
      </w:r>
      <w:r>
        <w:t xml:space="preserve">,</w:t>
      </w:r>
      <w:r>
        <w:t xml:space="preserve"> </w:t>
      </w:r>
      <w:r>
        <w:rPr>
          <w:i/>
          <w:iCs/>
        </w:rPr>
        <w:t xml:space="preserve">FAAH</w:t>
      </w:r>
      <w:r>
        <w:t xml:space="preserve">,</w:t>
      </w:r>
      <w:r>
        <w:t xml:space="preserve"> </w:t>
      </w:r>
      <w:r>
        <w:rPr>
          <w:i/>
          <w:iCs/>
        </w:rPr>
        <w:t xml:space="preserve">MGLL</w:t>
      </w:r>
      <w:r>
        <w:t xml:space="preserve">,</w:t>
      </w:r>
      <w:r>
        <w:t xml:space="preserve"> </w:t>
      </w:r>
      <w:r>
        <w:rPr>
          <w:i/>
          <w:iCs/>
        </w:rPr>
        <w:t xml:space="preserve">DAGLA</w:t>
      </w:r>
      <w:r>
        <w:t xml:space="preserve">,</w:t>
      </w:r>
      <w:r>
        <w:t xml:space="preserve"> </w:t>
      </w:r>
      <w:r>
        <w:rPr>
          <w:i/>
          <w:iCs/>
        </w:rPr>
        <w:t xml:space="preserve">DAGLB</w:t>
      </w:r>
      <w:r>
        <w:t xml:space="preserve">,</w:t>
      </w:r>
      <w:r>
        <w:t xml:space="preserve"> </w:t>
      </w:r>
      <w:r>
        <w:rPr>
          <w:i/>
          <w:iCs/>
        </w:rPr>
        <w:t xml:space="preserve">NAPEPLD</w:t>
      </w:r>
      <w:r>
        <w:t xml:space="preserve">. Neighbor genes stay out of the score. scRNA scores are available-case means of</w:t>
      </w:r>
      <w:r>
        <w:t xml:space="preserve"> </w:t>
      </w:r>
      <w:r>
        <w:rPr>
          <w:b/>
          <w:bCs/>
        </w:rPr>
        <w:t xml:space="preserve">raw counts</w:t>
      </w:r>
      <w:r>
        <w:t xml:space="preserve"> </w:t>
      </w:r>
      <w:r>
        <w:t xml:space="preserve">inside existing lineage labels (no new clustering, no NMF, no DE). A lineage has an ECS state in a cancer type if at least one core gene is detected (count &gt; 0) in ≥5% of that lineage’s cells and the lineage mean is highest or second-highest among non-empty buckets, after a B-lineage contamination screen (</w:t>
      </w:r>
      <w:r>
        <w:rPr>
          <w:i/>
          <w:iCs/>
        </w:rPr>
        <w:t xml:space="preserve">MS4A1</w:t>
      </w:r>
      <w:r>
        <w:t xml:space="preserve">, else</w:t>
      </w:r>
      <w:r>
        <w:t xml:space="preserve"> </w:t>
      </w:r>
      <w:r>
        <w:rPr>
          <w:i/>
          <w:iCs/>
        </w:rPr>
        <w:t xml:space="preserve">CD19</w:t>
      </w:r>
      <w:r>
        <w:t xml:space="preserve">, else</w:t>
      </w:r>
      <w:r>
        <w:t xml:space="preserve"> </w:t>
      </w:r>
      <w:r>
        <w:rPr>
          <w:i/>
          <w:iCs/>
        </w:rPr>
        <w:t xml:space="preserve">CD79A</w:t>
      </w:r>
      <w:r>
        <w:t xml:space="preserve">; ≥10% drops a non-B lineage in that dataset).</w:t>
      </w:r>
    </w:p>
    <w:p>
      <w:pPr>
        <w:pStyle w:val="BodyText"/>
      </w:pPr>
      <w:r>
        <w:t xml:space="preserve">On the five core types (NSCLC, melanoma, CRC, BRCA from Census; BLCA from pinned TISCH2+GEO GSE130001), detection of</w:t>
      </w:r>
      <w:r>
        <w:t xml:space="preserve"> </w:t>
      </w:r>
      <w:r>
        <w:rPr>
          <w:i/>
          <w:iCs/>
        </w:rPr>
        <w:t xml:space="preserve">CNR2</w:t>
      </w:r>
      <w:r>
        <w:t xml:space="preserve">,</w:t>
      </w:r>
      <w:r>
        <w:t xml:space="preserve"> </w:t>
      </w:r>
      <w:r>
        <w:rPr>
          <w:i/>
          <w:iCs/>
        </w:rPr>
        <w:t xml:space="preserve">MGLL</w:t>
      </w:r>
      <w:r>
        <w:t xml:space="preserve">, and</w:t>
      </w:r>
      <w:r>
        <w:t xml:space="preserve"> </w:t>
      </w:r>
      <w:r>
        <w:rPr>
          <w:i/>
          <w:iCs/>
        </w:rPr>
        <w:t xml:space="preserve">FAAH</w:t>
      </w:r>
      <w:r>
        <w:t xml:space="preserve"> </w:t>
      </w:r>
      <w:r>
        <w:t xml:space="preserve">is not uniformly dark in every non-B lineage. The map is tables (and heatmaps of those tables). There is no UMAP, Harmony, or scVI atlas in this protocol.</w:t>
      </w:r>
    </w:p>
    <w:bookmarkEnd w:id="11"/>
    <w:bookmarkStart w:id="12" w:name="X7236e25cfbc2a229760460deab205e16ddd7a51"/>
    <w:p>
      <w:pPr>
        <w:pStyle w:val="Heading3"/>
      </w:pPr>
      <w:r>
        <w:t xml:space="preserve">Three named states; primary is Stromal/other</w:t>
      </w:r>
    </w:p>
    <w:p>
      <w:pPr>
        <w:pStyle w:val="FirstParagraph"/>
      </w:pPr>
      <w:r>
        <w:t xml:space="preserve">After the ECS-state rule and contamination filter, the buckets with an ECS state are</w:t>
      </w:r>
      <w:r>
        <w:t xml:space="preserve"> </w:t>
      </w:r>
      <w:r>
        <w:rPr>
          <w:b/>
          <w:bCs/>
        </w:rPr>
        <w:t xml:space="preserve">B/plasma</w:t>
      </w:r>
      <w:r>
        <w:t xml:space="preserve"> </w:t>
      </w:r>
      <w:r>
        <w:t xml:space="preserve">(melanoma),</w:t>
      </w:r>
      <w:r>
        <w:t xml:space="preserve"> </w:t>
      </w:r>
      <w:r>
        <w:rPr>
          <w:b/>
          <w:bCs/>
        </w:rPr>
        <w:t xml:space="preserve">Malignant/epithelial</w:t>
      </w:r>
      <w:r>
        <w:t xml:space="preserve"> </w:t>
      </w:r>
      <w:r>
        <w:t xml:space="preserve">(BLCA, BRCA, CRC, NSCLC), and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(all five). Re-running the core catalog on the same pins reproduced those three buckets with no kept↔dropped flip and no numeric drift at published precision.</w:t>
      </w:r>
    </w:p>
    <w:p>
      <w:pPr>
        <w:pStyle w:val="BodyText"/>
      </w:pPr>
      <w:r>
        <w:t xml:space="preserve">Both non-B buckets qualify on bulk confound tests. Pooled TCGA (n=3664) Pearson r vs B-cell signature = 0.417 and vs TLS = 0.383; TCGA-BLCA (n=426) r</w:t>
      </w:r>
      <w:r>
        <w:rPr>
          <w:vertAlign w:val="subscript"/>
        </w:rPr>
        <w:t xml:space="preserve">B</w:t>
      </w:r>
      <w:r>
        <w:t xml:space="preserve"> </w:t>
      </w:r>
      <w:r>
        <w:t xml:space="preserve">= 0.361 and r</w:t>
      </w:r>
      <w:r>
        <w:rPr>
          <w:vertAlign w:val="subscript"/>
        </w:rPr>
        <w:t xml:space="preserve">TLS</w:t>
      </w:r>
      <w:r>
        <w:t xml:space="preserve"> </w:t>
      </w:r>
      <w:r>
        <w:t xml:space="preserve">= 0.263. Residualization was not used. Because bulk TCGA scores the same nine genes for every non-B candidate, the first cascade step is a tie;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was named primary because it met the ECS-state rule in all five core types (vs four for Malignant/epithelial). That name was committed before IMvigor210 or GEO phenotypes were opened. Gate B always uses the continuous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nine-gene score.</w:t>
      </w:r>
    </w:p>
    <w:bookmarkEnd w:id="12"/>
    <w:bookmarkStart w:id="19" w:name="expansion-is-pre-specified-not-shopped"/>
    <w:p>
      <w:pPr>
        <w:pStyle w:val="Heading3"/>
      </w:pPr>
      <w:r>
        <w:t xml:space="preserve">Expansion is pre-specified, not shopped</w:t>
      </w:r>
    </w:p>
    <w:p>
      <w:pPr>
        <w:pStyle w:val="FirstParagraph"/>
      </w:pPr>
      <w:r>
        <w:t xml:space="preserve">Twelve expansion types were locked before cell counts were used to include or skip. Census only; skip if the type is missing or n &lt; 10,000 after the same primary-data filter as the core map. No substitute type. No new TISCH2 dataset.</w:t>
      </w:r>
    </w:p>
    <w:p>
      <w:pPr>
        <w:pStyle w:val="BodyText"/>
      </w:pPr>
      <w:r>
        <w:t xml:space="preserve">Six types were tabled: OV (n=984,988), PRAD (68,322), KIRC (187,792), STAD (217,923), HNSC (82,378), GBM (1,363,983). Six were skipped: PAAD, ESCA, UCEC, THCA, CESC (missing in Census) and LIHC (n &lt; 10,000). Near-miss labels (generic RCC, liver cancer, non-adenocarcinoma pancreas) were not added.</w:t>
      </w:r>
    </w:p>
    <w:p>
      <w:pPr>
        <w:pStyle w:val="BodyText"/>
      </w:pPr>
      <w:r>
        <w:t xml:space="preserve">On expansion tables, Malignant/epithelial and Stromal/other continue as the same confirmatory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states. Myeloid (OV) and T/NK (GBM, KIRC) can meet the catalog ECS-state rule; those rows stay catalog-only and are not new named states. The primary remains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</w:t>
      </w:r>
    </w:p>
    <w:p>
      <w:pPr>
        <w:pStyle w:val="BodyText"/>
      </w:pPr>
      <w:r>
        <w:t xml:space="preserve">Mean core-ECS by type and lineage bucket:</w:t>
      </w:r>
    </w:p>
    <w:p>
      <w:pPr>
        <w:pStyle w:val="CaptionedFigure"/>
      </w:pPr>
      <w:r>
        <w:drawing>
          <wp:inline>
            <wp:extent cx="5334000" cy="4318000"/>
            <wp:effectExtent b="0" l="0" r="0" t="0"/>
            <wp:docPr descr="Figure 1. Mean core-ECS by type and lineage bucket" title="" id="14" name="Picture"/>
            <a:graphic>
              <a:graphicData uri="http://schemas.openxmlformats.org/drawingml/2006/picture">
                <pic:pic>
                  <pic:nvPicPr>
                    <pic:cNvPr descr="diagrams/13-mean-ec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Mean core-ECS by type and lineage bucket</w:t>
      </w:r>
    </w:p>
    <w:p>
      <w:pPr>
        <w:pStyle w:val="BodyText"/>
      </w:pPr>
      <w:r>
        <w:t xml:space="preserve">Nine-gene detection inside Stromal/other:</w:t>
      </w:r>
    </w:p>
    <w:p>
      <w:pPr>
        <w:pStyle w:val="CaptionedFigure"/>
      </w:pPr>
      <w:r>
        <w:drawing>
          <wp:inline>
            <wp:extent cx="5334000" cy="3942521"/>
            <wp:effectExtent b="0" l="0" r="0" t="0"/>
            <wp:docPr descr="Figure 2. Nine-gene detection in Stromal/other" title="" id="17" name="Picture"/>
            <a:graphic>
              <a:graphicData uri="http://schemas.openxmlformats.org/drawingml/2006/picture">
                <pic:pic>
                  <pic:nvPicPr>
                    <pic:cNvPr descr="diagrams/13-detection-stroma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Nine-gene detection in Stromal/other</w:t>
      </w:r>
    </w:p>
    <w:bookmarkEnd w:id="19"/>
    <w:bookmarkStart w:id="23" w:name="X2eebd96ae13d779a96628879887ec010cd256e4"/>
    <w:p>
      <w:pPr>
        <w:pStyle w:val="Heading3"/>
      </w:pPr>
      <w:r>
        <w:t xml:space="preserve">Stromal/other is a bucket, not a fibroblast paper</w:t>
      </w:r>
    </w:p>
    <w:p>
      <w:pPr>
        <w:pStyle w:val="FirstParagraph"/>
      </w:pPr>
      <w:r>
        <w:t xml:space="preserve">Among cells already assigned to Stromal/other, existing Census or TISCH2 labels were grouped as fibroblast, endothelial, pericyte/smooth muscle, or unmatched. That table is a confirmatory</w:t>
      </w:r>
      <w:r>
        <w:t xml:space="preserve"> </w:t>
      </w:r>
      <w:r>
        <w:rPr>
          <w:i/>
          <w:iCs/>
        </w:rPr>
        <w:t xml:space="preserve">output</w:t>
      </w:r>
      <w:r>
        <w:t xml:space="preserve">. It is not a new confirmatory state and does not rename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</w:t>
      </w:r>
    </w:p>
    <w:p>
      <w:pPr>
        <w:pStyle w:val="BodyText"/>
      </w:pPr>
      <w:r>
        <w:t xml:space="preserve">Composition varies by type (fibroblast-rich in OV, BLCA, BRCA; unmatched-heavy in STAD, GBM, CRC, KIRC). Unmatched names are the labels the atlas already had (for example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microglia, stem cell). They are not clustered into a fourth named state.</w:t>
      </w:r>
    </w:p>
    <w:p>
      <w:pPr>
        <w:pStyle w:val="CaptionedFigure"/>
      </w:pPr>
      <w:r>
        <w:drawing>
          <wp:inline>
            <wp:extent cx="5334000" cy="4772526"/>
            <wp:effectExtent b="0" l="0" r="0" t="0"/>
            <wp:docPr descr="Figure 3. Stromal/other subtype composition" title="" id="21" name="Picture"/>
            <a:graphic>
              <a:graphicData uri="http://schemas.openxmlformats.org/drawingml/2006/picture">
                <pic:pic>
                  <pic:nvPicPr>
                    <pic:cNvPr descr="diagrams/13-stromal-composi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Stromal/other subtype composition</w:t>
      </w:r>
    </w:p>
    <w:bookmarkEnd w:id="23"/>
    <w:bookmarkStart w:id="24" w:name="Xe27df8b3929740e3e955583e922a7229f13eb44"/>
    <w:p>
      <w:pPr>
        <w:pStyle w:val="Heading3"/>
      </w:pPr>
      <w:r>
        <w:t xml:space="preserve">Frozen IMvigor210 test does not associate with response after B, TLS, and CD8</w:t>
      </w:r>
    </w:p>
    <w:p>
      <w:pPr>
        <w:pStyle w:val="FirstParagraph"/>
      </w:pPr>
      <w:r>
        <w:t xml:space="preserve">The confirmatory ICI result is IMvigor210 Model 1, copied from the kill run. n = 298 complete cases (68 CR/PR, 230 SD/PD). Nine of nine ECS genes were present. Logistic model:</w:t>
      </w:r>
      <w:r>
        <w:t xml:space="preserve"> </w:t>
      </w:r>
      <w:r>
        <w:rPr>
          <w:rStyle w:val="VerbatimChar"/>
        </w:rPr>
        <w:t xml:space="preserve">response ~ ECS + B_cell + TLS + CD8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(Stromal/other)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1.189</w:t>
            </w:r>
          </w:p>
        </w:tc>
        <w:tc>
          <w:tcPr/>
          <w:p>
            <w:pPr>
              <w:pStyle w:val="Compact"/>
            </w:pPr>
            <w:r>
              <w:t xml:space="preserve">0.551–2.563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0.495–1.863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0.258–1.035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2.380</w:t>
            </w:r>
          </w:p>
        </w:tc>
        <w:tc>
          <w:tcPr/>
          <w:p>
            <w:pPr>
              <w:pStyle w:val="Compact"/>
            </w:pPr>
            <w:r>
              <w:t xml:space="preserve">1.508–3.757</w:t>
            </w:r>
          </w:p>
        </w:tc>
      </w:tr>
    </w:tbl>
    <w:p>
      <w:pPr>
        <w:pStyle w:val="BodyText"/>
      </w:pPr>
      <w:r>
        <w:t xml:space="preserve">The ECS interval includes 1. VIF(ECS) = 1.360 (&lt; 3), so collinearity of ECS with the confounders is not the reason the interval includes 1. CD8 associates with response in the same model; that does not pass an ECS checkpoint claim.</w:t>
      </w:r>
    </w:p>
    <w:p>
      <w:pPr>
        <w:pStyle w:val="BodyText"/>
      </w:pPr>
      <w:r>
        <w:t xml:space="preserve">Unadjusted ECS OR 1.076 (0.568–2.038), Model 2 n=234 ECS OR 1.093 (0.449–2.663), and Cox OS n=348 ECS HR 0.898 (0.623–1.294) are secondary. Two pre-treatment melanoma GEO sets (GSE78220 n=26, ECS OR 0.469, 0.019–11.697; GSE91061 n=49, ECS OR 0.603, 0.066–5.510) are underpowered replication. None of these can carry or rescue the confirmatory claim. Deconvolution was not run. No cutoff was searched.</w:t>
      </w:r>
    </w:p>
    <w:bookmarkEnd w:id="24"/>
    <w:bookmarkEnd w:id="25"/>
    <w:bookmarkStart w:id="26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paper is the map. Human tumor ECS, on this nine-gene list, is visible as lineage cell states rather than as a single-gene slogan.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is a non-B state that passes the pre-specified B-cell / TLS confound tests. A frozen score of that state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associate with IMvigor210 response after B + TLS + CD8.</w:t>
      </w:r>
    </w:p>
    <w:p>
      <w:pPr>
        <w:pStyle w:val="BodyText"/>
      </w:pPr>
      <w:r>
        <w:t xml:space="preserve">That negative is complete, not a prelude to fishing. Melanoma GEO does not “validate a biomarker.” OS and unadjusted fits are not a checkpoint association. Myeloid and T/NK catalog rows in expansion types are not a fourth and fifth named state. Fibroblast vs endothelial counts inside Stromal/other are display.</w:t>
      </w:r>
    </w:p>
    <w:p>
      <w:pPr>
        <w:pStyle w:val="BodyText"/>
      </w:pPr>
      <w:r>
        <w:t xml:space="preserve">Limitations follow the lock. Expansion is Census-only; six locked types are skipped rather than filled from another database. Melanoma core n is small relative to BRCA or NSCLC. Stromal/other includes unmatched labels by design. There is no embedding, no browser, and no causal test of CB2. Neighbor enzymes and receptors were not added after seeing outcomes.</w:t>
      </w:r>
    </w:p>
    <w:p>
      <w:pPr>
        <w:pStyle w:val="BodyText"/>
      </w:pPr>
      <w:r>
        <w:t xml:space="preserve">What this study may still say is listed in</w:t>
      </w:r>
      <w:r>
        <w:t xml:space="preserve"> </w:t>
      </w:r>
      <w:r>
        <w:rPr>
          <w:rStyle w:val="VerbatimChar"/>
        </w:rPr>
        <w:t xml:space="preserve">CLAIMS.md</w:t>
      </w:r>
      <w:r>
        <w:t xml:space="preserve"> </w:t>
      </w:r>
      <w:r>
        <w:t xml:space="preserve">in the repository: cell states, a non-B state distinct from B/TLS abundance, and a frozen negative IMvigor210 response test. What it may not say: cannabis as therapy; CB2 as a clinical checkpoint; a practice change during PD-1.</w:t>
      </w:r>
    </w:p>
    <w:bookmarkEnd w:id="26"/>
    <w:bookmarkStart w:id="27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Protocols.</w:t>
      </w:r>
      <w:r>
        <w:t xml:space="preserve"> </w:t>
      </w:r>
      <w:r>
        <w:t xml:space="preserve">Kill confirmatory methods:</w:t>
      </w:r>
      <w:r>
        <w:t xml:space="preserve"> </w:t>
      </w:r>
      <w:r>
        <w:rPr>
          <w:rStyle w:val="VerbatimChar"/>
        </w:rPr>
        <w:t xml:space="preserve">PROTOCOL.md</w:t>
      </w:r>
      <w:r>
        <w:t xml:space="preserve"> </w:t>
      </w:r>
      <w:r>
        <w:t xml:space="preserve">(git</w:t>
      </w:r>
      <w:r>
        <w:t xml:space="preserve"> </w:t>
      </w:r>
      <w:r>
        <w:rPr>
          <w:rStyle w:val="VerbatimChar"/>
        </w:rPr>
        <w:t xml:space="preserve">3fbf310</w:t>
      </w:r>
      <w:r>
        <w:t xml:space="preserve">; https://github.com/cauld/scendo/tree/3fbf310870c57247163edca35ed536ade3ea4301). Atlas completeness and frozen ICI citation:</w:t>
      </w:r>
      <w:r>
        <w:t xml:space="preserve"> </w:t>
      </w:r>
      <w:r>
        <w:rPr>
          <w:rStyle w:val="VerbatimChar"/>
        </w:rPr>
        <w:t xml:space="preserve">PROTOCOL-ATLAS.md</w:t>
      </w:r>
      <w:r>
        <w:t xml:space="preserve"> </w:t>
      </w:r>
      <w:r>
        <w:t xml:space="preserve">(git</w:t>
      </w:r>
      <w:r>
        <w:t xml:space="preserve"> </w:t>
      </w:r>
      <w:r>
        <w:rPr>
          <w:rStyle w:val="VerbatimChar"/>
        </w:rPr>
        <w:t xml:space="preserve">2a74270</w:t>
      </w:r>
      <w:r>
        <w:t xml:space="preserve">; https://github.com/cauld/scendo/tree/2a74270a16685cbc4df5c45c293a7afb5b7665f5). Pass/fail:</w:t>
      </w:r>
      <w:r>
        <w:t xml:space="preserve"> </w:t>
      </w:r>
      <w:r>
        <w:rPr>
          <w:rStyle w:val="VerbatimChar"/>
        </w:rPr>
        <w:t xml:space="preserve">KILL.md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KILL-ATLAS.md</w:t>
      </w:r>
      <w:r>
        <w:t xml:space="preserve">. Operator notes: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. Public lock: OSF Secondary Data Preregistration, https://doi.org/10.17605/OSF.IO/C8KPX.</w:t>
      </w:r>
    </w:p>
    <w:p>
      <w:pPr>
        <w:pStyle w:val="BodyText"/>
      </w:pPr>
      <w:r>
        <w:rPr>
          <w:b/>
          <w:bCs/>
        </w:rPr>
        <w:t xml:space="preserve">scRNA.</w:t>
      </w:r>
      <w:r>
        <w:t xml:space="preserve"> </w:t>
      </w:r>
      <w:r>
        <w:t xml:space="preserve">CELLxGENE Census human RNA, version</w:t>
      </w:r>
      <w:r>
        <w:t xml:space="preserve"> </w:t>
      </w:r>
      <w:r>
        <w:rPr>
          <w:rStyle w:val="VerbatimChar"/>
        </w:rPr>
        <w:t xml:space="preserve">2025-11-08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is_primary_data == True</w:t>
      </w:r>
      <w:r>
        <w:t xml:space="preserve">, culture/organoid/cell-line drop as in the detection unit. One cancer type per query. BLCA fallback is TISCH2</w:t>
      </w:r>
      <w:r>
        <w:t xml:space="preserve"> </w:t>
      </w:r>
      <w:r>
        <w:rPr>
          <w:rStyle w:val="VerbatimChar"/>
        </w:rPr>
        <w:t xml:space="preserve">BLCA_GSE130001</w:t>
      </w:r>
      <w:r>
        <w:t xml:space="preserve"> </w:t>
      </w:r>
      <w:r>
        <w:t xml:space="preserve">cell types matched to GEO GSE130001 counts. Lineage buckets are a locked substring map on existing labels (B/plasma, myeloid, T/NK, malignant/epithelial, stromal/other). Cell score = available-case mean of the nine core genes on raw counts (min 7/9).</w:t>
      </w:r>
    </w:p>
    <w:p>
      <w:pPr>
        <w:pStyle w:val="BodyText"/>
      </w:pPr>
      <w:r>
        <w:rPr>
          <w:b/>
          <w:bCs/>
        </w:rPr>
        <w:t xml:space="preserve">Bulk confound.</w:t>
      </w:r>
      <w:r>
        <w:t xml:space="preserve"> </w:t>
      </w:r>
      <w:r>
        <w:t xml:space="preserve">TOIL</w:t>
      </w:r>
      <w:r>
        <w:t xml:space="preserve"> </w:t>
      </w:r>
      <w:r>
        <w:rPr>
          <w:rStyle w:val="VerbatimChar"/>
        </w:rPr>
        <w:t xml:space="preserve">tcga_RSEM_gene_tpm</w:t>
      </w:r>
      <w:r>
        <w:t xml:space="preserve"> </w:t>
      </w:r>
      <w:r>
        <w:t xml:space="preserve">as shipped. Within-window gene-wise z-scores; available-case mean. B-cell list:</w:t>
      </w:r>
      <w:r>
        <w:t xml:space="preserve"> </w:t>
      </w:r>
      <w:r>
        <w:rPr>
          <w:i/>
          <w:iCs/>
        </w:rPr>
        <w:t xml:space="preserve">MS4A1</w:t>
      </w:r>
      <w:r>
        <w:t xml:space="preserve">,</w:t>
      </w:r>
      <w:r>
        <w:t xml:space="preserve"> </w:t>
      </w:r>
      <w:r>
        <w:rPr>
          <w:i/>
          <w:iCs/>
        </w:rPr>
        <w:t xml:space="preserve">CD19</w:t>
      </w:r>
      <w:r>
        <w:t xml:space="preserve">,</w:t>
      </w:r>
      <w:r>
        <w:t xml:space="preserve"> </w:t>
      </w:r>
      <w:r>
        <w:rPr>
          <w:i/>
          <w:iCs/>
        </w:rPr>
        <w:t xml:space="preserve">CD79A</w:t>
      </w:r>
      <w:r>
        <w:t xml:space="preserve">,</w:t>
      </w:r>
      <w:r>
        <w:t xml:space="preserve"> </w:t>
      </w:r>
      <w:r>
        <w:rPr>
          <w:i/>
          <w:iCs/>
        </w:rPr>
        <w:t xml:space="preserve">CD79B</w:t>
      </w:r>
      <w:r>
        <w:t xml:space="preserve">,</w:t>
      </w:r>
      <w:r>
        <w:t xml:space="preserve"> </w:t>
      </w:r>
      <w:r>
        <w:rPr>
          <w:i/>
          <w:iCs/>
        </w:rPr>
        <w:t xml:space="preserve">MZB1</w:t>
      </w:r>
      <w:r>
        <w:t xml:space="preserve">. TLS:</w:t>
      </w:r>
      <w:r>
        <w:t xml:space="preserve"> </w:t>
      </w:r>
      <w:r>
        <w:rPr>
          <w:i/>
          <w:iCs/>
        </w:rPr>
        <w:t xml:space="preserve">CXCL13</w:t>
      </w:r>
      <w:r>
        <w:t xml:space="preserve">,</w:t>
      </w:r>
      <w:r>
        <w:t xml:space="preserve"> </w:t>
      </w:r>
      <w:r>
        <w:rPr>
          <w:i/>
          <w:iCs/>
        </w:rPr>
        <w:t xml:space="preserve">CCL19</w:t>
      </w:r>
      <w:r>
        <w:t xml:space="preserve">,</w:t>
      </w:r>
      <w:r>
        <w:t xml:space="preserve"> </w:t>
      </w:r>
      <w:r>
        <w:rPr>
          <w:i/>
          <w:iCs/>
        </w:rPr>
        <w:t xml:space="preserve">CCL21</w:t>
      </w:r>
      <w:r>
        <w:t xml:space="preserve">,</w:t>
      </w:r>
      <w:r>
        <w:t xml:space="preserve"> </w:t>
      </w:r>
      <w:r>
        <w:rPr>
          <w:i/>
          <w:iCs/>
        </w:rPr>
        <w:t xml:space="preserve">CCR7</w:t>
      </w:r>
      <w:r>
        <w:t xml:space="preserve">. Pearson |r| &lt; 0.6 in pooled TCGA and TCGA-BLCA.</w:t>
      </w:r>
    </w:p>
    <w:p>
      <w:pPr>
        <w:pStyle w:val="BodyText"/>
      </w:pPr>
      <w:r>
        <w:rPr>
          <w:b/>
          <w:bCs/>
        </w:rPr>
        <w:t xml:space="preserve">ICI.</w:t>
      </w:r>
      <w:r>
        <w:t xml:space="preserve"> </w:t>
      </w:r>
      <w:r>
        <w:t xml:space="preserve">IMvigor210 from</w:t>
      </w:r>
      <w:r>
        <w:t xml:space="preserve"> </w:t>
      </w:r>
      <w:r>
        <w:rPr>
          <w:rStyle w:val="VerbatimChar"/>
        </w:rPr>
        <w:t xml:space="preserve">IMvigor210CoreBiologies_1.0.1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object. DESeq size-factor normalized counts,</w:t>
      </w:r>
      <w:r>
        <w:t xml:space="preserve"> </w:t>
      </w:r>
      <w:r>
        <w:rPr>
          <w:rStyle w:val="VerbatimChar"/>
        </w:rPr>
        <w:t xml:space="preserve">log2(norm + 1)</w:t>
      </w:r>
      <w:r>
        <w:t xml:space="preserve">, within-cohort z-scores, available-case mean. Endpoint</w:t>
      </w:r>
      <w:r>
        <w:t xml:space="preserve"> </w:t>
      </w:r>
      <w:r>
        <w:rPr>
          <w:rStyle w:val="VerbatimChar"/>
        </w:rPr>
        <w:t xml:space="preserve">binaryResponse</w:t>
      </w:r>
      <w:r>
        <w:t xml:space="preserve"> </w:t>
      </w:r>
      <w:r>
        <w:t xml:space="preserve">CR/PR vs SD/PD; drop NE/NA. Model 1 logistic as specified. VIF from OLS auxiliary regressions on the four scores. GEO GSE78220 and GSE91061: pre-treatment anti-PD-1 melanoma,</w:t>
      </w:r>
      <w:r>
        <w:t xml:space="preserve"> </w:t>
      </w:r>
      <w:r>
        <w:rPr>
          <w:rStyle w:val="VerbatimChar"/>
        </w:rPr>
        <w:t xml:space="preserve">log2(FPKM + 1)</w:t>
      </w:r>
      <w:r>
        <w:t xml:space="preserve"> </w:t>
      </w:r>
      <w:r>
        <w:t xml:space="preserve">then the same scoring; Model 1 if covariates exist. No new ICI cohort, gene, cutoff, or refit in the atlas phase.</w:t>
      </w:r>
    </w:p>
    <w:p>
      <w:pPr>
        <w:pStyle w:val="BodyText"/>
      </w:pPr>
      <w:r>
        <w:rPr>
          <w:b/>
          <w:bCs/>
        </w:rPr>
        <w:t xml:space="preserve">Figures.</w:t>
      </w:r>
      <w:r>
        <w:t xml:space="preserve"> </w:t>
      </w:r>
      <w:r>
        <w:t xml:space="preserve">Heatmaps are of the confirmatory type × lineage tables and of the display-only stromal composition table. No embedding.</w:t>
      </w:r>
    </w:p>
    <w:bookmarkEnd w:id="27"/>
    <w:bookmarkStart w:id="28" w:name="data-and-code"/>
    <w:p>
      <w:pPr>
        <w:pStyle w:val="Heading2"/>
      </w:pPr>
      <w:r>
        <w:t xml:space="preserve">Data and code</w:t>
      </w:r>
    </w:p>
    <w:p>
      <w:pPr>
        <w:pStyle w:val="FirstParagraph"/>
      </w:pPr>
      <w:r>
        <w:t xml:space="preserve">Public data only. Census, TISCH2/GEO BLCA, TCGA/TOIL Xena, IMvigor210, GSE78220, and GSE91061 remain under their original licenses. Pipeline: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 </w:t>
      </w:r>
      <w:r>
        <w:t xml:space="preserve">in https://github.com/cauld/scendo (Python, uv). Study text is CC BY 4.0. Confirmatory freeze SHAs are recorded in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. Preregistration: https://doi.org/10.17605/OSF.IO/C8KPX.</w:t>
      </w:r>
    </w:p>
    <w:p>
      <w:pPr>
        <w:pStyle w:val="BodyText"/>
      </w:pPr>
      <w:r>
        <w:t xml:space="preserve">Reproduce: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then the unit runners under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inventory_00.py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figures_13.py</w:t>
      </w:r>
      <w:r>
        <w:t xml:space="preserve">). Large data files are not in git (</w:t>
      </w:r>
      <w:r>
        <w:rPr>
          <w:rStyle w:val="VerbatimChar"/>
        </w:rPr>
        <w:t xml:space="preserve">data/</w:t>
      </w:r>
      <w:r>
        <w:t xml:space="preserve">). Pins and checksums:</w:t>
      </w:r>
      <w:r>
        <w:t xml:space="preserve"> </w:t>
      </w:r>
      <w:r>
        <w:rPr>
          <w:rStyle w:val="VerbatimChar"/>
        </w:rPr>
        <w:t xml:space="preserve">research/data-inventory.md</w:t>
      </w:r>
      <w:r>
        <w:t xml:space="preserve">.</w:t>
      </w:r>
    </w:p>
    <w:bookmarkEnd w:id="28"/>
    <w:bookmarkStart w:id="29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29"/>
    <w:bookmarkStart w:id="30" w:name="references-datasets"/>
    <w:p>
      <w:pPr>
        <w:pStyle w:val="Heading2"/>
      </w:pPr>
      <w:r>
        <w:t xml:space="preserve">References (datasets)</w:t>
      </w:r>
    </w:p>
    <w:p>
      <w:pPr>
        <w:pStyle w:val="Compact"/>
        <w:numPr>
          <w:ilvl w:val="0"/>
          <w:numId w:val="1001"/>
        </w:numPr>
      </w:pPr>
      <w:r>
        <w:t xml:space="preserve">Auld, C. (2026). SCENDO: single-cell endocannabinoidome states and immune-checkpoint response after B-cell/TLS adjustment. OSF. https://doi.org/10.17605/OSF.IO/C8KPX.</w:t>
      </w:r>
    </w:p>
    <w:p>
      <w:pPr>
        <w:pStyle w:val="Compact"/>
        <w:numPr>
          <w:ilvl w:val="0"/>
          <w:numId w:val="1001"/>
        </w:numPr>
      </w:pPr>
      <w:r>
        <w:t xml:space="preserve">CELLxGENE Census, version</w:t>
      </w:r>
      <w:r>
        <w:t xml:space="preserve"> </w:t>
      </w:r>
      <w:r>
        <w:rPr>
          <w:rStyle w:val="VerbatimChar"/>
        </w:rPr>
        <w:t xml:space="preserve">2025-11-08</w:t>
      </w:r>
      <w:r>
        <w:t xml:space="preserve"> </w:t>
      </w:r>
      <w:r>
        <w:t xml:space="preserve">(CZI).</w:t>
      </w:r>
    </w:p>
    <w:p>
      <w:pPr>
        <w:pStyle w:val="Compact"/>
        <w:numPr>
          <w:ilvl w:val="0"/>
          <w:numId w:val="1001"/>
        </w:numPr>
      </w:pPr>
      <w:r>
        <w:t xml:space="preserve">TISCH2</w:t>
      </w:r>
      <w:r>
        <w:t xml:space="preserve"> </w:t>
      </w:r>
      <w:r>
        <w:rPr>
          <w:rStyle w:val="VerbatimChar"/>
        </w:rPr>
        <w:t xml:space="preserve">BLCA_GSE130001</w:t>
      </w:r>
      <w:r>
        <w:t xml:space="preserve"> </w:t>
      </w:r>
      <w:r>
        <w:t xml:space="preserve">cell types with GEO GSE130001 counts.</w:t>
      </w:r>
    </w:p>
    <w:p>
      <w:pPr>
        <w:pStyle w:val="Compact"/>
        <w:numPr>
          <w:ilvl w:val="0"/>
          <w:numId w:val="1001"/>
        </w:numPr>
      </w:pPr>
      <w:r>
        <w:t xml:space="preserve">TOIL TCGA</w:t>
      </w:r>
      <w:r>
        <w:t xml:space="preserve"> </w:t>
      </w:r>
      <w:r>
        <w:rPr>
          <w:rStyle w:val="VerbatimChar"/>
        </w:rPr>
        <w:t xml:space="preserve">tcga_RSEM_gene_tpm</w:t>
      </w:r>
      <w:r>
        <w:t xml:space="preserve"> </w:t>
      </w:r>
      <w:r>
        <w:t xml:space="preserve">via Xena.</w:t>
      </w:r>
    </w:p>
    <w:p>
      <w:pPr>
        <w:pStyle w:val="Compact"/>
        <w:numPr>
          <w:ilvl w:val="0"/>
          <w:numId w:val="1001"/>
        </w:numPr>
      </w:pPr>
      <w:r>
        <w:t xml:space="preserve">Mariathasan et al., IMvigor210 (</w:t>
      </w:r>
      <w:r>
        <w:rPr>
          <w:rStyle w:val="VerbatimChar"/>
        </w:rPr>
        <w:t xml:space="preserve">IMvigor210CoreBiologies</w:t>
      </w:r>
      <w:r>
        <w:t xml:space="preserve"> </w:t>
      </w:r>
      <w:r>
        <w:t xml:space="preserve">1.0.1).</w:t>
      </w:r>
    </w:p>
    <w:p>
      <w:pPr>
        <w:pStyle w:val="Compact"/>
        <w:numPr>
          <w:ilvl w:val="0"/>
          <w:numId w:val="1001"/>
        </w:numPr>
      </w:pPr>
      <w:r>
        <w:t xml:space="preserve">Hugo et al., Cell 2016, GEO GSE78220.</w:t>
      </w:r>
    </w:p>
    <w:p>
      <w:pPr>
        <w:pStyle w:val="Compact"/>
        <w:numPr>
          <w:ilvl w:val="0"/>
          <w:numId w:val="1001"/>
        </w:numPr>
      </w:pPr>
      <w:r>
        <w:t xml:space="preserve">Riaz et al., Cell 2017, GEO GSE91061.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2026-08-27T20:54:27Z</dcterms:created>
  <dcterms:modified xsi:type="dcterms:W3CDTF">2026-08-27T20:54:27Z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