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/>
        <w:t>Inventory of Supporting Information</w:t>
      </w:r>
    </w:p>
    <w:p>
      <w:pPr>
        <w:pStyle w:val="Heading2"/>
        <w:rPr/>
      </w:pPr>
      <w:r>
        <w:rPr/>
        <w:t>Supplementary Information PDF</w:t>
      </w:r>
    </w:p>
    <w:p>
      <w:pPr>
        <w:pStyle w:val="Normal"/>
        <w:spacing w:before="0" w:after="240"/>
        <w:rPr/>
      </w:pPr>
      <w:r>
        <w:rPr/>
        <w:t>File: supplement.pdf</w:t>
      </w:r>
    </w:p>
    <w:p>
      <w:pPr>
        <w:pStyle w:val="Heading2"/>
        <w:rPr/>
      </w:pPr>
      <w:r>
        <w:rPr/>
        <w:t>Supplementary Tables</w:t>
      </w:r>
    </w:p>
    <w:p>
      <w:pPr>
        <w:pStyle w:val="Normal"/>
        <w:spacing w:before="0" w:after="120"/>
        <w:rPr/>
      </w:pPr>
      <w:r>
        <w:rPr/>
        <w:t>Supplementary Table 1: Summary of Adapter Trimming Tools for analyzing DRS data</w:t>
      </w:r>
    </w:p>
    <w:p>
      <w:pPr>
        <w:pStyle w:val="Normal"/>
        <w:spacing w:before="0" w:after="120"/>
        <w:rPr/>
      </w:pPr>
      <w:r>
        <w:rPr/>
        <w:t>Supplementary Table 2: Read Length Statistics by Sample</w:t>
      </w:r>
    </w:p>
    <w:p>
      <w:pPr>
        <w:pStyle w:val="Normal"/>
        <w:spacing w:before="0" w:after="120"/>
        <w:rPr/>
      </w:pPr>
      <w:r>
        <w:rPr/>
        <w:t>Supplementary Table 3: Ablation Study Results for Quality Block</w:t>
      </w:r>
    </w:p>
    <w:p>
      <w:pPr>
        <w:pStyle w:val="Normal"/>
        <w:spacing w:before="0" w:after="240"/>
        <w:rPr/>
      </w:pPr>
      <w:r>
        <w:rPr/>
        <w:t>Supplementary Table 4: Internal Adapter Prevalence Across Datasets</w:t>
      </w:r>
    </w:p>
    <w:p>
      <w:pPr>
        <w:pStyle w:val="Heading2"/>
        <w:rPr/>
      </w:pPr>
      <w:r>
        <w:rPr/>
        <w:t>Supplementary Figures</w:t>
      </w:r>
    </w:p>
    <w:p>
      <w:pPr>
        <w:pStyle w:val="Normal"/>
        <w:spacing w:before="0" w:after="120"/>
        <w:rPr/>
      </w:pPr>
      <w:r>
        <w:rPr/>
        <w:t>Supplementary Figure 1: Distribution of transcript length for protein-coding genes</w:t>
      </w:r>
    </w:p>
    <w:p>
      <w:pPr>
        <w:pStyle w:val="Normal"/>
        <w:spacing w:before="0" w:after="120"/>
        <w:rPr/>
      </w:pPr>
      <w:r>
        <w:rPr/>
        <w:t>Supplementary Figure 2: Performance evaluation in held-out test dataset</w:t>
      </w:r>
    </w:p>
    <w:p>
      <w:pPr>
        <w:pStyle w:val="Normal"/>
        <w:spacing w:before="0" w:after="120"/>
        <w:rPr/>
      </w:pPr>
      <w:r>
        <w:rPr/>
        <w:t>Supplementary Figure 3: Comparison of chimeric alignment reduction strategies in VCaP RNA002 dRNA-seq data</w:t>
      </w:r>
    </w:p>
    <w:p>
      <w:pPr>
        <w:pStyle w:val="Normal"/>
        <w:spacing w:before="0" w:after="120"/>
        <w:rPr/>
      </w:pPr>
      <w:r>
        <w:rPr/>
        <w:t>Supplementary Figure 4: Percent of internal adapter-containing reads that are non-chimeric</w:t>
      </w:r>
    </w:p>
    <w:p>
      <w:pPr>
        <w:pStyle w:val="Normal"/>
        <w:spacing w:before="0" w:after="120"/>
        <w:rPr/>
      </w:pPr>
      <w:r>
        <w:rPr/>
        <w:t>Supplementary Figure 5: Prediction probability distributions of DeepChopper for the held-out test dataset</w:t>
      </w:r>
    </w:p>
    <w:p>
      <w:pPr>
        <w:pStyle w:val="Normal"/>
        <w:spacing w:before="0" w:after="120"/>
        <w:rPr/>
      </w:pPr>
      <w:r>
        <w:rPr/>
        <w:t>Supplementary Figure 6: Computational performance metrics across different data sizes</w:t>
      </w:r>
    </w:p>
    <w:p>
      <w:pPr>
        <w:pStyle w:val="Normal"/>
        <w:spacing w:before="0" w:after="120"/>
        <w:rPr/>
      </w:pPr>
      <w:r>
        <w:rPr/>
        <w:t>Supplementary Figure 7: Effect of window size on chimeric alignment detection and read fragmentation</w:t>
      </w:r>
    </w:p>
    <w:p>
      <w:pPr>
        <w:pStyle w:val="Normal"/>
        <w:spacing w:before="0" w:after="120"/>
        <w:rPr/>
      </w:pPr>
      <w:r>
        <w:rPr/>
        <w:t>Supplementary Figure 8: Chimeric alignments from DRS of the F121-9 cell line (mouse)</w:t>
      </w:r>
    </w:p>
    <w:p>
      <w:pPr>
        <w:pStyle w:val="Normal"/>
        <w:spacing w:before="0" w:after="120"/>
        <w:rPr/>
      </w:pPr>
      <w:r>
        <w:rPr/>
        <w:t>Supplementary Figure 9: Evaluation of DeepChopper's predictions on chimeric read artifacts in DRS data generated using the SQK-RNA004 kit</w:t>
      </w:r>
    </w:p>
    <w:p>
      <w:pPr>
        <w:pStyle w:val="Normal"/>
        <w:spacing w:before="0" w:after="120"/>
        <w:rPr/>
      </w:pPr>
      <w:r>
        <w:rPr/>
        <w:t>Supplementary Figure 10: Performance comparison of original and fine-tuned DeepChopper on RNA004 data</w:t>
      </w:r>
    </w:p>
    <w:p>
      <w:pPr>
        <w:pStyle w:val="Normal"/>
        <w:spacing w:before="0" w:after="120"/>
        <w:rPr/>
      </w:pPr>
      <w:r>
        <w:rPr/>
        <w:t>Supplementary Figure 11: Analysis of DRS chimera artifacts and their genomic and transcriptomic characteristics in VCaP cells</w:t>
      </w:r>
    </w:p>
    <w:p>
      <w:pPr>
        <w:pStyle w:val="Normal"/>
        <w:spacing w:before="0" w:after="120"/>
        <w:rPr/>
      </w:pPr>
      <w:r>
        <w:rPr/>
        <w:t>Supplementary Figure 12: Analysis of gene fusions derived from chimeric read artifacts in DRS</w:t>
      </w:r>
    </w:p>
    <w:p>
      <w:pPr>
        <w:pStyle w:val="Normal"/>
        <w:spacing w:before="0" w:after="120"/>
        <w:rPr/>
      </w:pPr>
      <w:r>
        <w:rPr/>
        <w:t>Supplementary Figure 13: Representative internal adapter detection with base quality visualization</w:t>
      </w:r>
    </w:p>
    <w:p>
      <w:pPr>
        <w:pStyle w:val="Normal"/>
        <w:spacing w:before="0" w:after="120"/>
        <w:rPr/>
      </w:pPr>
      <w:r>
        <w:rPr/>
        <w:t>Supplementary Figure 14: Challenge Scenario 1: Incomplete 3' terminal adapter detection in multi-adapter read</w:t>
      </w:r>
    </w:p>
    <w:p>
      <w:pPr>
        <w:pStyle w:val="Normal"/>
        <w:spacing w:before="0" w:after="120"/>
        <w:rPr/>
      </w:pPr>
      <w:r>
        <w:rPr/>
        <w:t>Supplementary Figure 15: Challenge Scenario 2: Partial internal adapter detection</w:t>
      </w:r>
    </w:p>
    <w:p>
      <w:pPr>
        <w:pStyle w:val="Normal"/>
        <w:spacing w:before="0" w:after="240"/>
        <w:rPr/>
      </w:pPr>
      <w:r>
        <w:rPr/>
        <w:t>Supplementary Figure 16: Solution for Challenge Scenario 1: Combined Dorado-DeepChopper workflow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Heading2">
    <w:name w:val="heading 2"/>
    <w:basedOn w:val="Heading"/>
    <w:qFormat/>
    <w:pPr>
      <w:spacing w:before="180" w:after="120"/>
      <w:outlineLvl w:val="1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2</Pages>
  <Words>253</Words>
  <Characters>1723</Characters>
  <CharactersWithSpaces>1951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2025-12-29T16:10:18Z</dcterms:created>
  <dc:creator>Un-named</dc:creator>
  <dc:description/>
  <dc:language>en-US</dc:language>
  <cp:lastModifiedBy/>
  <dcterms:modified xsi:type="dcterms:W3CDTF">2025-12-29T10:13:00Z</dcterms:modified>
  <cp:revision>3</cp:revision>
  <dc:subject/>
  <dc:title/>
</cp:coreProperties>
</file>