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15" w:type="dxa"/>
          <w:start w:w="15" w:type="dxa"/>
          <w:bottom w:w="0" w:type="dxa"/>
          <w:end w:w="15" w:type="dxa"/>
        </w:tblCellMar>
        <w:tblLook w:val="06a0" w:noHBand="1" w:noVBand="1" w:firstColumn="1" w:lastRow="0" w:lastColumn="0" w:firstRow="1"/>
      </w:tblPr>
      <w:tblGrid>
        <w:gridCol w:w="6760"/>
        <w:gridCol w:w="2600"/>
      </w:tblGrid>
      <w:tr>
        <w:trPr>
          <w:trHeight w:val="360" w:hRule="atLeast"/>
        </w:trPr>
        <w:tc>
          <w:tcPr>
            <w:tcW w:w="6760" w:type="dxa"/>
            <w:tcBorders>
              <w:bottom w:val="single" w:sz="4" w:space="0" w:color="000000"/>
            </w:tcBorders>
            <w:vAlign w:val="bottom"/>
          </w:tcPr>
          <w:p>
            <w:pPr>
              <w:pStyle w:val="Normal"/>
              <w:spacing w:before="0" w:after="0"/>
              <w:rPr/>
            </w:pPr>
            <w:r>
              <w:rPr>
                <w:rFonts w:eastAsia="Arial" w:cs="Arial" w:ascii="Arial" w:hAnsi="Arial"/>
                <w:b/>
                <w:bCs/>
                <w:color w:val="666666"/>
                <w:sz w:val="28"/>
                <w:szCs w:val="28"/>
              </w:rPr>
              <w:t>Author Checklist</w:t>
            </w:r>
          </w:p>
        </w:tc>
        <w:tc>
          <w:tcPr>
            <w:tcW w:w="2600" w:type="dxa"/>
            <w:tcBorders>
              <w:bottom w:val="single" w:sz="4" w:space="0" w:color="000000"/>
            </w:tcBorders>
            <w:vAlign w:val="bottom"/>
          </w:tcPr>
          <w:p>
            <w:pPr>
              <w:pStyle w:val="Normal"/>
              <w:spacing w:before="0" w:after="0"/>
              <w:rPr/>
            </w:pPr>
            <w:r>
              <w:rPr>
                <w:rFonts w:eastAsia="Arial" w:cs="Arial" w:ascii="Arial" w:hAnsi="Arial"/>
                <w:color w:themeColor="text1" w:val="000000"/>
                <w:sz w:val="16"/>
                <w:szCs w:val="16"/>
              </w:rPr>
              <w:t>Manuscript Number:</w:t>
            </w:r>
          </w:p>
        </w:tc>
      </w:tr>
      <w:tr>
        <w:trPr>
          <w:trHeight w:val="255" w:hRule="atLeast"/>
        </w:trPr>
        <w:tc>
          <w:tcPr>
            <w:tcW w:w="6760" w:type="dxa"/>
            <w:tcBorders>
              <w:top w:val="single" w:sz="4" w:space="0" w:color="000000"/>
            </w:tcBorders>
            <w:vAlign w:val="bottom"/>
          </w:tcPr>
          <w:p>
            <w:pPr>
              <w:pStyle w:val="Normal"/>
              <w:widowControl/>
              <w:bidi w:val="0"/>
              <w:spacing w:lineRule="auto" w:line="278" w:before="0" w:after="160"/>
              <w:jc w:val="start"/>
              <w:rPr/>
            </w:pPr>
            <w:r>
              <w:rPr/>
            </w:r>
          </w:p>
        </w:tc>
        <w:tc>
          <w:tcPr>
            <w:tcW w:w="2600" w:type="dxa"/>
            <w:tcBorders>
              <w:top w:val="single" w:sz="4" w:space="0" w:color="000000"/>
            </w:tcBorders>
            <w:vAlign w:val="bottom"/>
          </w:tcPr>
          <w:p>
            <w:pPr>
              <w:pStyle w:val="Normal"/>
              <w:spacing w:before="0" w:after="0"/>
              <w:rPr>
                <w:rFonts w:ascii="Arial" w:hAnsi="Arial" w:eastAsia="Arial" w:cs="Arial"/>
                <w:color w:themeColor="text1" w:val="000000"/>
                <w:sz w:val="16"/>
                <w:szCs w:val="16"/>
              </w:rPr>
            </w:pPr>
            <w:r>
              <w:rPr>
                <w:rFonts w:eastAsia="Arial" w:cs="Arial" w:ascii="Arial" w:hAnsi="Arial"/>
                <w:color w:themeColor="text1" w:val="000000"/>
                <w:sz w:val="16"/>
                <w:szCs w:val="16"/>
              </w:rPr>
              <w:t>NCOMMS-24-76720B</w:t>
            </w:r>
            <w:r>
              <w:rPr/>
              <w:tab/>
            </w:r>
          </w:p>
        </w:tc>
      </w:tr>
      <w:tr>
        <w:trPr>
          <w:trHeight w:val="255" w:hRule="atLeast"/>
        </w:trPr>
        <w:tc>
          <w:tcPr>
            <w:tcW w:w="6760" w:type="dxa"/>
            <w:tcBorders/>
            <w:vAlign w:val="bottom"/>
          </w:tcPr>
          <w:p>
            <w:pPr>
              <w:pStyle w:val="Normal"/>
              <w:widowControl/>
              <w:bidi w:val="0"/>
              <w:spacing w:lineRule="auto" w:line="278" w:before="0" w:after="160"/>
              <w:jc w:val="start"/>
              <w:rPr/>
            </w:pPr>
            <w:r>
              <w:rPr/>
            </w:r>
          </w:p>
        </w:tc>
        <w:tc>
          <w:tcPr>
            <w:tcW w:w="2600" w:type="dxa"/>
            <w:tcBorders/>
            <w:vAlign w:val="bottom"/>
          </w:tcPr>
          <w:p>
            <w:pPr>
              <w:pStyle w:val="Normal"/>
              <w:spacing w:before="0" w:after="0"/>
              <w:rPr/>
            </w:pPr>
            <w:r>
              <w:rPr>
                <w:rFonts w:eastAsia="Arial" w:cs="Arial" w:ascii="Arial" w:hAnsi="Arial"/>
                <w:color w:themeColor="background1" w:val="FFFFFF"/>
                <w:sz w:val="16"/>
                <w:szCs w:val="16"/>
              </w:rPr>
              <w:t>______________________________</w:t>
            </w:r>
          </w:p>
        </w:tc>
      </w:tr>
      <w:tr>
        <w:trPr>
          <w:trHeight w:val="1155" w:hRule="atLeast"/>
        </w:trPr>
        <w:tc>
          <w:tcPr>
            <w:tcW w:w="6760" w:type="dxa"/>
            <w:tcBorders/>
            <w:vAlign w:val="bottom"/>
          </w:tcPr>
          <w:p>
            <w:pPr>
              <w:pStyle w:val="Normal"/>
              <w:spacing w:before="0" w:after="0"/>
              <w:rPr/>
            </w:pPr>
            <w:r>
              <w:rPr>
                <w:rFonts w:eastAsia="Arial" w:cs="Arial" w:ascii="Arial" w:hAnsi="Arial"/>
                <w:b/>
                <w:bCs/>
                <w:color w:val="666666"/>
                <w:sz w:val="22"/>
                <w:szCs w:val="22"/>
              </w:rPr>
              <w:t xml:space="preserve">Please check the items below carefully and add a response in each row of the table to indicate the changes that you have made. </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cPr>
          <w:p>
            <w:pPr>
              <w:pStyle w:val="Normal"/>
              <w:widowControl/>
              <w:bidi w:val="0"/>
              <w:spacing w:lineRule="auto" w:line="278" w:before="0" w:after="160"/>
              <w:jc w:val="start"/>
              <w:rPr/>
            </w:pPr>
            <w:r>
              <w:rPr/>
            </w:r>
          </w:p>
        </w:tc>
        <w:tc>
          <w:tcPr>
            <w:tcW w:w="2600" w:type="dxa"/>
            <w:tcBorders/>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Author information</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0"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 have verified that all names, affiliations, and titles are correctly represented in the manuscript. No changes to the author list are needed.</w:t>
            </w:r>
          </w:p>
        </w:tc>
      </w:tr>
      <w:tr>
        <w:trPr>
          <w:trHeight w:val="120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affiliations are appropriately labeled and featured sequentially and in ascending order (1,2,3,... or a,b,c...). Please ensure all corresponding authors are marked with a specific symbol and include their emails.</w:t>
            </w:r>
            <w:r>
              <w:rPr/>
              <w:br/>
            </w:r>
            <w:r>
              <w:rPr>
                <w:rFonts w:eastAsia="Arial" w:cs="Arial" w:ascii="Arial" w:hAnsi="Arial"/>
                <w:color w:themeColor="text1" w:val="000000"/>
                <w:sz w:val="20"/>
                <w:szCs w:val="20"/>
              </w:rPr>
              <w:t xml:space="preserve"> Similarly, if you have “equally contributing” or “joint supervision” authors, use a specific symbol to mark them and not a number.</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affiliation formatting is correct as currently formatted.</w:t>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the author contributions section mentions each author's initials at least once with their contributions to the work. Authors with the same initials must be differentiated in the statement.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authors are listed by initials with their specific contributions.</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spacing w:before="0" w:after="160"/>
              <w:rPr>
                <w:rFonts w:ascii="Arial" w:hAnsi="Arial" w:eastAsia="Arial" w:cs="Arial"/>
              </w:rPr>
            </w:pPr>
            <w:r>
              <w:rPr>
                <w:rFonts w:eastAsia="Arial" w:cs="Arial" w:ascii="Arial" w:hAnsi="Arial"/>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Article structure</w:t>
            </w:r>
          </w:p>
        </w:tc>
        <w:tc>
          <w:tcPr>
            <w:tcW w:w="2600" w:type="dxa"/>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The manuscript contains 3 display items (Figures and Tables), and all sized to fit within A4 dimensions.</w:t>
            </w:r>
          </w:p>
        </w:tc>
      </w:tr>
      <w:tr>
        <w:trPr>
          <w:trHeight w:val="19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Supplementary Figures must be all contained in the Supplementary Information PDF and do NOT need to be uploaded separately.</w:t>
            </w:r>
            <w:r>
              <w:rPr/>
              <w:br/>
            </w:r>
            <w:r>
              <w:rPr>
                <w:rFonts w:eastAsia="Arial" w:cs="Arial" w:ascii="Arial" w:hAnsi="Arial"/>
                <w:color w:themeColor="text1" w:val="000000"/>
                <w:sz w:val="20"/>
                <w:szCs w:val="20"/>
              </w:rPr>
              <w:t xml:space="preserve"> </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Main figures uploaded separately with all panels labeled; no legends included in figure files. Supplementary figures contained in SI PDF as required.</w:t>
            </w:r>
          </w:p>
        </w:tc>
      </w:tr>
      <w:tr>
        <w:trPr>
          <w:trHeight w:val="255" w:hRule="atLeast"/>
        </w:trPr>
        <w:tc>
          <w:tcPr>
            <w:tcW w:w="6760"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ensure your main manuscript file includes the following sections, in this order:</w:t>
            </w:r>
          </w:p>
        </w:tc>
        <w:tc>
          <w:tcPr>
            <w:tcW w:w="2600"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20" w:hRule="atLeast"/>
        </w:trPr>
        <w:tc>
          <w:tcPr>
            <w:tcW w:w="6760"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i/>
                <w:iCs/>
                <w:color w:themeColor="text1" w:val="000000"/>
                <w:sz w:val="20"/>
                <w:szCs w:val="20"/>
              </w:rPr>
              <w:t>Title</w:t>
            </w:r>
            <w:r>
              <w:rPr/>
              <w:br/>
            </w:r>
            <w:r>
              <w:rPr>
                <w:rFonts w:eastAsia="Arial" w:cs="Arial" w:ascii="Arial" w:hAnsi="Arial"/>
                <w:i/>
                <w:iCs/>
                <w:color w:themeColor="text1" w:val="000000"/>
                <w:sz w:val="20"/>
                <w:szCs w:val="20"/>
              </w:rPr>
              <w:t xml:space="preserve"> Author list</w:t>
            </w:r>
            <w:r>
              <w:rPr/>
              <w:br/>
            </w:r>
            <w:r>
              <w:rPr>
                <w:rFonts w:eastAsia="Arial" w:cs="Arial" w:ascii="Arial" w:hAnsi="Arial"/>
                <w:i/>
                <w:iCs/>
                <w:color w:themeColor="text1" w:val="000000"/>
                <w:sz w:val="20"/>
                <w:szCs w:val="20"/>
              </w:rPr>
              <w:t xml:space="preserve"> Affiliations</w:t>
            </w:r>
            <w:r>
              <w:rPr/>
              <w:br/>
            </w:r>
            <w:r>
              <w:rPr>
                <w:rFonts w:eastAsia="Arial" w:cs="Arial" w:ascii="Arial" w:hAnsi="Arial"/>
                <w:i/>
                <w:iCs/>
                <w:color w:themeColor="text1" w:val="000000"/>
                <w:sz w:val="20"/>
                <w:szCs w:val="20"/>
              </w:rPr>
              <w:t xml:space="preserve"> Abstract</w:t>
            </w:r>
            <w:r>
              <w:rPr/>
              <w:br/>
            </w:r>
            <w:r>
              <w:rPr>
                <w:rFonts w:eastAsia="Arial" w:cs="Arial" w:ascii="Arial" w:hAnsi="Arial"/>
                <w:i/>
                <w:iCs/>
                <w:color w:themeColor="text1" w:val="000000"/>
                <w:sz w:val="20"/>
                <w:szCs w:val="20"/>
              </w:rPr>
              <w:t xml:space="preserve"> Introduction</w:t>
            </w:r>
            <w:r>
              <w:rPr/>
              <w:br/>
            </w:r>
            <w:r>
              <w:rPr>
                <w:rFonts w:eastAsia="Arial" w:cs="Arial" w:ascii="Arial" w:hAnsi="Arial"/>
                <w:i/>
                <w:iCs/>
                <w:color w:themeColor="text1" w:val="000000"/>
                <w:sz w:val="20"/>
                <w:szCs w:val="20"/>
              </w:rPr>
              <w:t xml:space="preserve"> Results</w:t>
            </w:r>
            <w:r>
              <w:rPr/>
              <w:br/>
            </w:r>
            <w:r>
              <w:rPr>
                <w:rFonts w:eastAsia="Arial" w:cs="Arial" w:ascii="Arial" w:hAnsi="Arial"/>
                <w:i/>
                <w:iCs/>
                <w:color w:themeColor="text1" w:val="000000"/>
                <w:sz w:val="20"/>
                <w:szCs w:val="20"/>
              </w:rPr>
              <w:t xml:space="preserve"> Discussion (optional)</w:t>
            </w:r>
            <w:r>
              <w:rPr/>
              <w:br/>
            </w:r>
            <w:r>
              <w:rPr>
                <w:rFonts w:eastAsia="Arial" w:cs="Arial" w:ascii="Arial" w:hAnsi="Arial"/>
                <w:i/>
                <w:iCs/>
                <w:color w:themeColor="text1" w:val="000000"/>
                <w:sz w:val="20"/>
                <w:szCs w:val="20"/>
              </w:rPr>
              <w:t xml:space="preserve"> Results and Discussion (optional)</w:t>
            </w:r>
            <w:r>
              <w:rPr/>
              <w:br/>
            </w:r>
            <w:r>
              <w:rPr>
                <w:rFonts w:eastAsia="Arial" w:cs="Arial" w:ascii="Arial" w:hAnsi="Arial"/>
                <w:i/>
                <w:iCs/>
                <w:color w:themeColor="text1" w:val="000000"/>
                <w:sz w:val="20"/>
                <w:szCs w:val="20"/>
              </w:rPr>
              <w:t xml:space="preserve"> Methods</w:t>
            </w:r>
            <w:r>
              <w:rPr/>
              <w:br/>
            </w:r>
            <w:r>
              <w:rPr>
                <w:rFonts w:eastAsia="Arial" w:cs="Arial" w:ascii="Arial" w:hAnsi="Arial"/>
                <w:i/>
                <w:iCs/>
                <w:color w:themeColor="text1" w:val="000000"/>
                <w:sz w:val="20"/>
                <w:szCs w:val="20"/>
              </w:rPr>
              <w:t xml:space="preserve"> Data Availability</w:t>
            </w:r>
            <w:r>
              <w:rPr/>
              <w:br/>
            </w:r>
            <w:r>
              <w:rPr>
                <w:rFonts w:eastAsia="Arial" w:cs="Arial" w:ascii="Arial" w:hAnsi="Arial"/>
                <w:i/>
                <w:iCs/>
                <w:color w:themeColor="text1" w:val="000000"/>
                <w:sz w:val="20"/>
                <w:szCs w:val="20"/>
              </w:rPr>
              <w:t xml:space="preserve"> Code Availability (if relevant)</w:t>
            </w:r>
            <w:r>
              <w:rPr/>
              <w:br/>
            </w:r>
            <w:r>
              <w:rPr>
                <w:rFonts w:eastAsia="Arial" w:cs="Arial" w:ascii="Arial" w:hAnsi="Arial"/>
                <w:i/>
                <w:iCs/>
                <w:color w:themeColor="text1" w:val="000000"/>
                <w:sz w:val="20"/>
                <w:szCs w:val="20"/>
              </w:rPr>
              <w:t xml:space="preserve"> References</w:t>
            </w:r>
            <w:r>
              <w:rPr/>
              <w:br/>
            </w:r>
            <w:r>
              <w:rPr>
                <w:rFonts w:eastAsia="Arial" w:cs="Arial" w:ascii="Arial" w:hAnsi="Arial"/>
                <w:i/>
                <w:iCs/>
                <w:color w:themeColor="text1" w:val="000000"/>
                <w:sz w:val="20"/>
                <w:szCs w:val="20"/>
              </w:rPr>
              <w:t xml:space="preserve"> Acknowledgements</w:t>
            </w:r>
            <w:r>
              <w:rPr/>
              <w:br/>
            </w:r>
            <w:r>
              <w:rPr>
                <w:rFonts w:eastAsia="Arial" w:cs="Arial" w:ascii="Arial" w:hAnsi="Arial"/>
                <w:i/>
                <w:iCs/>
                <w:color w:themeColor="text1" w:val="000000"/>
                <w:sz w:val="20"/>
                <w:szCs w:val="20"/>
              </w:rPr>
              <w:t xml:space="preserve"> Author Contributions Statement</w:t>
            </w:r>
            <w:r>
              <w:rPr/>
              <w:br/>
            </w:r>
            <w:r>
              <w:rPr>
                <w:rFonts w:eastAsia="Arial" w:cs="Arial" w:ascii="Arial" w:hAnsi="Arial"/>
                <w:i/>
                <w:iCs/>
                <w:color w:themeColor="text1" w:val="000000"/>
                <w:sz w:val="20"/>
                <w:szCs w:val="20"/>
              </w:rPr>
              <w:t xml:space="preserve"> Competing Interests Statement</w:t>
            </w:r>
            <w:r>
              <w:rPr/>
              <w:br/>
            </w:r>
            <w:r>
              <w:rPr>
                <w:rFonts w:eastAsia="Arial" w:cs="Arial" w:ascii="Arial" w:hAnsi="Arial"/>
                <w:i/>
                <w:iCs/>
                <w:color w:themeColor="text1" w:val="000000"/>
                <w:sz w:val="20"/>
                <w:szCs w:val="20"/>
              </w:rPr>
              <w:t xml:space="preserve"> Tables</w:t>
            </w:r>
            <w:r>
              <w:rPr/>
              <w:br/>
            </w:r>
            <w:r>
              <w:rPr>
                <w:rFonts w:eastAsia="Arial" w:cs="Arial" w:ascii="Arial" w:hAnsi="Arial"/>
                <w:i/>
                <w:iCs/>
                <w:color w:themeColor="text1" w:val="000000"/>
                <w:sz w:val="20"/>
                <w:szCs w:val="20"/>
              </w:rPr>
              <w:t xml:space="preserve"> Figure Legends/Captions (for main text figures)</w:t>
            </w:r>
          </w:p>
        </w:tc>
        <w:tc>
          <w:tcPr>
            <w:tcW w:w="2600"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All required sections are included in the specified order.</w:t>
            </w:r>
          </w:p>
        </w:tc>
      </w:tr>
      <w:tr>
        <w:trPr>
          <w:trHeight w:val="1200" w:hRule="atLeast"/>
        </w:trPr>
        <w:tc>
          <w:tcPr>
            <w:tcW w:w="6760" w:type="dxa"/>
            <w:tcBorders>
              <w:top w:val="single" w:sz="4" w:space="0" w:color="000000"/>
              <w:start w:val="single" w:sz="4" w:space="0" w:color="000000"/>
              <w:end w:val="single" w:sz="4" w:space="0" w:color="000000"/>
            </w:tcBorders>
          </w:tcPr>
          <w:p>
            <w:pPr>
              <w:pStyle w:val="Style21"/>
              <w:rPr/>
            </w:pPr>
            <w:r>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SI submitted as a clean PDF with all supplementary figures included.</w:t>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Main text</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refrain from using words such as new/novel/first, when referring to the scientific findings. Please also remove exaggerated language such as 'extremely'/'outstanding'</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Manuscript reviewed and all promotional/exaggerated language removed.</w:t>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do not use italics, bold font, underlining or speech marks/quotation marks except in headings unless required for technical terms (in both the main text and the display items).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Formatting cleaned</w:t>
            </w:r>
          </w:p>
        </w:tc>
      </w:tr>
      <w:tr>
        <w:trPr>
          <w:trHeight w:val="16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Mathematical notation conforms to guidelines; equations in editable format.</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label equations sequentially as (1), (2), (3), etc.</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equations labeled sequentially</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use italics for species names, both in the main text and the display items.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Confirmed. Common names used; no scientific names requiring italics.</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Figures and Tables</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0"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Guidelines reviewed and followed.</w:t>
            </w:r>
          </w:p>
        </w:tc>
      </w:tr>
      <w:tr>
        <w:trPr>
          <w:trHeight w:val="255" w:hRule="atLeast"/>
        </w:trPr>
        <w:tc>
          <w:tcPr>
            <w:tcW w:w="6760" w:type="dxa"/>
            <w:tcBorders>
              <w:start w:val="single" w:sz="4" w:space="0" w:color="000000"/>
              <w:bottom w:val="single" w:sz="4" w:space="0" w:color="000000"/>
            </w:tcBorders>
          </w:tcPr>
          <w:p>
            <w:pPr>
              <w:pStyle w:val="Normal"/>
              <w:spacing w:before="0" w:after="0"/>
              <w:rPr/>
            </w:pPr>
            <w:hyperlink r:id="rId2">
              <w:r>
                <w:rPr>
                  <w:rStyle w:val="Hyperlink"/>
                  <w:rFonts w:eastAsia="Arial" w:cs="Arial" w:ascii="Arial" w:hAnsi="Arial"/>
                  <w:color w:val="0000FF"/>
                  <w:sz w:val="20"/>
                  <w:szCs w:val="20"/>
                </w:rPr>
                <w:t>https://www.nature.com/documents/NRJs-guide-to-preparing-final-artwork.pdf</w:t>
              </w:r>
            </w:hyperlink>
          </w:p>
        </w:tc>
        <w:tc>
          <w:tcPr>
            <w:tcW w:w="2600"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5010" w:hRule="atLeast"/>
        </w:trPr>
        <w:tc>
          <w:tcPr>
            <w:tcW w:w="6760"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960" w:hRule="atLeast"/>
        </w:trPr>
        <w:tc>
          <w:tcPr>
            <w:tcW w:w="6760"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Please note that this information is missing in the legend(s) of figure(s) 2e,f.</w:t>
            </w:r>
            <w:r>
              <w:rPr/>
              <w:br/>
            </w:r>
            <w:r>
              <w:rPr>
                <w:rFonts w:eastAsia="Arial" w:cs="Arial" w:ascii="Arial" w:hAnsi="Arial"/>
                <w:b/>
                <w:bCs/>
                <w:color w:themeColor="text1" w:val="000000"/>
                <w:sz w:val="20"/>
                <w:szCs w:val="20"/>
              </w:rPr>
              <w:t xml:space="preserve"> </w:t>
            </w:r>
            <w:r>
              <w:rPr/>
              <w:br/>
            </w:r>
            <w:r>
              <w:rPr>
                <w:rFonts w:eastAsia="Arial" w:cs="Arial" w:ascii="Arial" w:hAnsi="Arial"/>
                <w:b/>
                <w:bCs/>
                <w:color w:themeColor="text1" w:val="000000"/>
                <w:sz w:val="20"/>
                <w:szCs w:val="20"/>
              </w:rPr>
              <w:t xml:space="preserve"> </w:t>
            </w:r>
          </w:p>
        </w:tc>
        <w:tc>
          <w:tcPr>
            <w:tcW w:w="2600"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0"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1200" w:hRule="atLeast"/>
        </w:trPr>
        <w:tc>
          <w:tcPr>
            <w:tcW w:w="6760" w:type="dxa"/>
            <w:tcBorders>
              <w:start w:val="single" w:sz="4" w:space="0" w:color="000000"/>
              <w:bottom w:val="single" w:sz="4" w:space="0" w:color="000000"/>
              <w:end w:val="single" w:sz="4" w:space="0" w:color="000000"/>
            </w:tcBorders>
          </w:tcPr>
          <w:p>
            <w:pPr>
              <w:pStyle w:val="Normal"/>
              <w:spacing w:before="0" w:after="0"/>
              <w:rPr/>
            </w:pPr>
            <w:r>
              <w:rPr/>
            </w:r>
          </w:p>
          <w:p>
            <w:pPr>
              <w:pStyle w:val="Normal"/>
              <w:spacing w:before="0" w:after="0"/>
              <w:rPr/>
            </w:pPr>
            <w:r>
              <w:rPr/>
            </w:r>
          </w:p>
          <w:p>
            <w:pPr>
              <w:pStyle w:val="Normal"/>
              <w:spacing w:before="0" w:after="0"/>
              <w:rPr/>
            </w:pPr>
            <w:r>
              <w:rPr>
                <w:rFonts w:eastAsia="Arial" w:cs="Arial" w:ascii="Arial" w:hAnsi="Arial"/>
                <w:b/>
                <w:bCs/>
                <w:color w:themeColor="text1" w:val="000000"/>
                <w:sz w:val="20"/>
                <w:szCs w:val="20"/>
              </w:rPr>
              <w:t>Please note that the box plots need to be defined in terms of minima, maxima, centre, bounds of box and whiskers and percentile in the legend(s) of figure(s) 2e,f.</w:t>
            </w:r>
          </w:p>
        </w:tc>
        <w:tc>
          <w:tcPr>
            <w:tcW w:w="2600"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2370" w:hRule="atLeast"/>
        </w:trPr>
        <w:tc>
          <w:tcPr>
            <w:tcW w:w="6760"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Pr/>
              <w:br/>
            </w:r>
            <w:r>
              <w:rPr>
                <w:rFonts w:eastAsia="Arial" w:cs="Arial" w:ascii="Arial" w:hAnsi="Arial"/>
                <w:color w:themeColor="text1" w:val="000000"/>
                <w:sz w:val="20"/>
                <w:szCs w:val="20"/>
              </w:rPr>
              <w:t xml:space="preserve"> </w:t>
            </w:r>
            <w:r>
              <w:rPr/>
              <w:br/>
              <w:br/>
            </w:r>
          </w:p>
        </w:tc>
        <w:tc>
          <w:tcPr>
            <w:tcW w:w="2600"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0" w:type="dxa"/>
            <w:tcBorders>
              <w:start w:val="single" w:sz="4" w:space="0" w:color="000000"/>
              <w:bottom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indicate the statistical test used for data analysis and where appropriate, please specify whether it was one-sided or two-sided and whether adjustments were made for multiple comparisons, in the legend(s) of figure(s) 3d.</w:t>
            </w:r>
            <w:r>
              <w:rPr/>
              <w:br/>
            </w:r>
            <w:r>
              <w:rPr>
                <w:rFonts w:eastAsia="Arial" w:cs="Arial" w:ascii="Arial" w:hAnsi="Arial"/>
                <w:b/>
                <w:bCs/>
                <w:color w:themeColor="text1" w:val="000000"/>
                <w:sz w:val="20"/>
                <w:szCs w:val="20"/>
              </w:rPr>
              <w:t xml:space="preserve"> </w:t>
            </w:r>
            <w:r>
              <w:rPr/>
              <w:br/>
            </w:r>
          </w:p>
        </w:tc>
        <w:tc>
          <w:tcPr>
            <w:tcW w:w="2600"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Extended data items are not permitted. Please place them in the Supplementary Information.</w:t>
            </w:r>
          </w:p>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r>
          </w:p>
          <w:p>
            <w:pPr>
              <w:pStyle w:val="Normal"/>
              <w:rPr/>
            </w:pPr>
            <w:r>
              <w:rPr/>
              <w:t xml:space="preserve">Extended Data Fig. X should be Supplementary Fig. X. </w:t>
            </w:r>
          </w:p>
          <w:p>
            <w:pPr>
              <w:pStyle w:val="Normal"/>
              <w:rPr/>
            </w:pPr>
            <w:r>
              <w:rPr/>
              <w:t xml:space="preserve">Extended Data Table should be Supplementary Table. </w:t>
            </w:r>
          </w:p>
          <w:p>
            <w:pPr>
              <w:pStyle w:val="Normal"/>
              <w:spacing w:before="0" w:after="0"/>
              <w:rPr/>
            </w:pPr>
            <w:r>
              <w:rPr/>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Done. All Extended Data items are moved to SI and renumbered as Supplementary Figures/Tables.</w:t>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Any abbreviations, symbols or colours present in your figures must be defined in the associated legends.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figure elements defined in legends.</w:t>
            </w:r>
          </w:p>
        </w:tc>
      </w:tr>
      <w:tr>
        <w:trPr>
          <w:trHeight w:val="255" w:hRule="atLeast"/>
        </w:trPr>
        <w:tc>
          <w:tcPr>
            <w:tcW w:w="6760"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tcPr>
          <w:p>
            <w:pPr>
              <w:pStyle w:val="Normal"/>
              <w:spacing w:before="0" w:after="0"/>
              <w:rPr/>
            </w:pPr>
            <w:r>
              <w:rPr>
                <w:rFonts w:eastAsia="Arial" w:cs="Arial" w:ascii="Arial" w:hAnsi="Arial"/>
                <w:b/>
                <w:bCs/>
                <w:color w:val="666666"/>
                <w:sz w:val="28"/>
                <w:szCs w:val="28"/>
              </w:rPr>
              <w:t>Data and Code</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370" w:hRule="atLeast"/>
        </w:trPr>
        <w:tc>
          <w:tcPr>
            <w:tcW w:w="6760"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Pr/>
              <w:br/>
              <w:br/>
            </w:r>
            <w:r>
              <w:rPr>
                <w:rFonts w:eastAsia="Arial" w:cs="Arial" w:ascii="Arial" w:hAnsi="Arial"/>
                <w:color w:themeColor="text1" w:val="000000"/>
                <w:sz w:val="20"/>
                <w:szCs w:val="20"/>
              </w:rP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tc>
      </w:tr>
      <w:tr>
        <w:trPr>
          <w:trHeight w:val="480" w:hRule="atLeast"/>
        </w:trPr>
        <w:tc>
          <w:tcPr>
            <w:tcW w:w="6760" w:type="dxa"/>
            <w:tcBorders>
              <w:start w:val="single" w:sz="4" w:space="0" w:color="000000"/>
              <w:bottom w:val="single" w:sz="4" w:space="0" w:color="000000"/>
            </w:tcBorders>
          </w:tcPr>
          <w:p>
            <w:pPr>
              <w:pStyle w:val="Normal"/>
              <w:spacing w:before="0" w:after="0"/>
              <w:rPr/>
            </w:pPr>
            <w:r>
              <w:fldChar w:fldCharType="begin"/>
            </w:r>
            <w:r>
              <w:rPr>
                <w:rStyle w:val="Hyperlink"/>
                <w:rFonts w:eastAsia="Arial" w:cs="Arial" w:ascii="Arial" w:hAnsi="Arial"/>
                <w:color w:val="0000FF"/>
                <w:sz w:val="20"/>
                <w:szCs w:val="20"/>
              </w:rPr>
              <w:instrText xml:space="preserve"> HYPERLINK "https://www.nature.com/nature-research/editorial-policies/reporting-standards" \l "availability-of-data"</w:instrText>
            </w:r>
            <w:r>
              <w:rPr>
                <w:rStyle w:val="Hyperlink"/>
                <w:rFonts w:eastAsia="Arial" w:cs="Arial" w:ascii="Arial" w:hAnsi="Arial"/>
                <w:color w:val="0000FF"/>
                <w:sz w:val="20"/>
                <w:szCs w:val="20"/>
              </w:rPr>
              <w:fldChar w:fldCharType="separate"/>
            </w:r>
            <w:r>
              <w:rPr>
                <w:rStyle w:val="Hyperlink"/>
                <w:rFonts w:eastAsia="Arial" w:cs="Arial" w:ascii="Arial" w:hAnsi="Arial"/>
                <w:color w:val="0000FF"/>
                <w:sz w:val="20"/>
                <w:szCs w:val="20"/>
              </w:rPr>
              <w:t>https://www.nature.com/nature-research/editorial-policies/reporting-standards#availability-of-data</w:t>
            </w:r>
            <w:r>
              <w:rPr>
                <w:rStyle w:val="Hyperlink"/>
                <w:rFonts w:eastAsia="Arial" w:cs="Arial" w:ascii="Arial" w:hAnsi="Arial"/>
                <w:color w:val="0000FF"/>
                <w:sz w:val="20"/>
                <w:szCs w:val="20"/>
              </w:rPr>
              <w:fldChar w:fldCharType="end"/>
            </w:r>
          </w:p>
        </w:tc>
        <w:tc>
          <w:tcPr>
            <w:tcW w:w="2600"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0245" w:hRule="atLeast"/>
        </w:trPr>
        <w:tc>
          <w:tcPr>
            <w:tcW w:w="6760"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 xml:space="preserve">All published manuscripts reporting original research in Nature Portfolio journals must include a data availability statement, within the Methods and under the heading 'Data Availability'. </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w:t>
            </w:r>
            <w:hyperlink r:id="rId3">
              <w:r>
                <w:rPr>
                  <w:rStyle w:val="Hyperlink"/>
                  <w:rFonts w:eastAsia="Arial" w:cs="Arial" w:ascii="Arial" w:hAnsi="Arial"/>
                  <w:sz w:val="20"/>
                  <w:szCs w:val="20"/>
                </w:rPr>
                <w:t>https://www.springernature.com/gp/authors/research-data-policy/recommended-repositories</w:t>
              </w:r>
            </w:hyperlink>
            <w:r>
              <w:rPr>
                <w:rFonts w:eastAsia="Arial" w:cs="Arial" w:ascii="Arial" w:hAnsi="Arial"/>
                <w:color w:themeColor="text1" w:val="000000"/>
                <w:sz w:val="20"/>
                <w:szCs w:val="20"/>
              </w:rPr>
              <w:t xml:space="preserve"> for a list of recommended repositories.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DOIs are provided, we also strongly encourage including these in the Reference list (authors, title, publisher (repository name), identifier, year).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should also reference any source data published alongside the paper.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clinical datasets or third party data, please ensure that the Data Availability statement adheres to our policy (</w:t>
            </w:r>
            <w:r>
              <w:fldChar w:fldCharType="begin"/>
            </w:r>
            <w:r>
              <w:rPr>
                <w:rStyle w:val="Hyperlink"/>
                <w:rFonts w:eastAsia="Arial" w:cs="Arial" w:ascii="Arial" w:hAnsi="Arial"/>
                <w:sz w:val="20"/>
                <w:szCs w:val="20"/>
              </w:rPr>
              <w:instrText xml:space="preserve"> HYPERLINK "https://www.nature.com/nature-research/editorial-policies/reporting-standards" \l "availability-of-data"</w:instrText>
            </w:r>
            <w:r>
              <w:rPr>
                <w:rStyle w:val="Hyperlink"/>
                <w:rFonts w:eastAsia="Arial" w:cs="Arial" w:ascii="Arial" w:hAnsi="Arial"/>
                <w:sz w:val="20"/>
                <w:szCs w:val="20"/>
              </w:rPr>
              <w:fldChar w:fldCharType="separate"/>
            </w:r>
            <w:r>
              <w:rPr>
                <w:rStyle w:val="Hyperlink"/>
                <w:rFonts w:eastAsia="Arial" w:cs="Arial" w:ascii="Arial" w:hAnsi="Arial"/>
                <w:sz w:val="20"/>
                <w:szCs w:val="20"/>
              </w:rPr>
              <w:t>https://www.nature.com/nature-research/editorial-policies/reporting-standards#availability-of-data</w:t>
            </w:r>
            <w:r>
              <w:rPr>
                <w:rStyle w:val="Hyperlink"/>
                <w:rFonts w:eastAsia="Arial" w:cs="Arial" w:ascii="Arial" w:hAnsi="Arial"/>
                <w:sz w:val="20"/>
                <w:szCs w:val="20"/>
              </w:rPr>
              <w:fldChar w:fldCharType="end"/>
            </w:r>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data that are available under restricted access, the Data Availability statement must specify</w:t>
            </w:r>
            <w:r>
              <w:rPr/>
              <w:br/>
            </w:r>
            <w:r>
              <w:rPr>
                <w:rFonts w:eastAsia="Arial" w:cs="Arial" w:ascii="Arial" w:hAnsi="Arial"/>
                <w:color w:themeColor="text1" w:val="000000"/>
                <w:sz w:val="20"/>
                <w:szCs w:val="20"/>
              </w:rPr>
              <w:t xml:space="preserve">   - the reasons for access restrictions</w:t>
            </w:r>
            <w:r>
              <w:rPr/>
              <w:br/>
            </w:r>
            <w:r>
              <w:rPr>
                <w:rFonts w:eastAsia="Arial" w:cs="Arial" w:ascii="Arial" w:hAnsi="Arial"/>
                <w:color w:themeColor="text1" w:val="000000"/>
                <w:sz w:val="20"/>
                <w:szCs w:val="20"/>
              </w:rPr>
              <w:t xml:space="preserve">   - what the restrictions are </w:t>
            </w:r>
            <w:r>
              <w:rPr/>
              <w:br/>
            </w:r>
            <w:r>
              <w:rPr>
                <w:rFonts w:eastAsia="Arial" w:cs="Arial" w:ascii="Arial" w:hAnsi="Arial"/>
                <w:color w:themeColor="text1" w:val="000000"/>
                <w:sz w:val="20"/>
                <w:szCs w:val="20"/>
              </w:rPr>
              <w:t xml:space="preserve">  - how one can get access to the data</w:t>
            </w:r>
            <w:r>
              <w:rPr/>
              <w:br/>
            </w:r>
            <w:r>
              <w:rPr>
                <w:rFonts w:eastAsia="Arial" w:cs="Arial" w:ascii="Arial" w:hAnsi="Arial"/>
                <w:color w:themeColor="text1" w:val="000000"/>
                <w:sz w:val="20"/>
                <w:szCs w:val="20"/>
              </w:rPr>
              <w:t xml:space="preserve">   - who to contact to request access</w:t>
            </w:r>
            <w:r>
              <w:rPr/>
              <w:br/>
            </w:r>
            <w:r>
              <w:rPr>
                <w:rFonts w:eastAsia="Arial" w:cs="Arial" w:ascii="Arial" w:hAnsi="Arial"/>
                <w:color w:themeColor="text1" w:val="000000"/>
                <w:sz w:val="20"/>
                <w:szCs w:val="20"/>
              </w:rPr>
              <w:t xml:space="preserve">   - any restrictions on who the data can be made available to or for which purpose</w:t>
            </w:r>
            <w:r>
              <w:rPr/>
              <w:br/>
            </w:r>
            <w:r>
              <w:rPr>
                <w:rFonts w:eastAsia="Arial" w:cs="Arial" w:ascii="Arial" w:hAnsi="Arial"/>
                <w:color w:themeColor="text1" w:val="000000"/>
                <w:sz w:val="20"/>
                <w:szCs w:val="20"/>
              </w:rPr>
              <w:t xml:space="preserve">   - the expected timeframe for response to access requests</w:t>
            </w:r>
            <w:r>
              <w:rPr/>
              <w:br/>
            </w:r>
            <w:r>
              <w:rPr>
                <w:rFonts w:eastAsia="Arial" w:cs="Arial" w:ascii="Arial" w:hAnsi="Arial"/>
                <w:color w:themeColor="text1" w:val="000000"/>
                <w:sz w:val="20"/>
                <w:szCs w:val="20"/>
              </w:rPr>
              <w:t xml:space="preserve">   - for how long the data will be available once access has been granted.</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370" w:hRule="atLeast"/>
        </w:trPr>
        <w:tc>
          <w:tcPr>
            <w:tcW w:w="6760"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Please use the following template to provide all the information stated above: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The direct RNA sequencing data (SQK-RNA002 and SQK-RNA004 kits) and direct cDNA sequencing data generated in this study have been deposited in the Gene Expression Omnibus database under accession code GSE277934 [</w:t>
            </w:r>
            <w:hyperlink r:id="rId4">
              <w:r>
                <w:rPr>
                  <w:rStyle w:val="Hyperlink"/>
                  <w:rFonts w:eastAsia="Arial" w:cs="Arial" w:ascii="Arial" w:hAnsi="Arial"/>
                  <w:sz w:val="20"/>
                  <w:szCs w:val="20"/>
                  <w:lang w:val="en-US"/>
                </w:rPr>
                <w:t>https://www.ncbi.nlm.nih.gov/geo/query/acc.cgi?acc=GSE277934</w:t>
              </w:r>
            </w:hyperlink>
            <w:r>
              <w:rPr>
                <w:rFonts w:eastAsia="Arial" w:cs="Arial" w:ascii="Arial" w:hAnsi="Arial"/>
                <w:sz w:val="20"/>
                <w:szCs w:val="20"/>
                <w:lang w:val="en-US"/>
              </w:rPr>
              <w:t>]. Source data generated in this study are provided in the Source Data file.</w:t>
            </w:r>
          </w:p>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 xml:space="preserve">DeepChopper source code is available on GitHub at </w:t>
            </w:r>
            <w:hyperlink r:id="rId5">
              <w:r>
                <w:rPr>
                  <w:rStyle w:val="Hyperlink"/>
                  <w:rFonts w:eastAsia="Arial" w:cs="Arial" w:ascii="Arial" w:hAnsi="Arial"/>
                  <w:sz w:val="20"/>
                  <w:szCs w:val="20"/>
                  <w:lang w:val="en-US"/>
                </w:rPr>
                <w:t>https://github.com/ylab-hi/DeepChopper</w:t>
              </w:r>
            </w:hyperlink>
            <w:r>
              <w:rPr>
                <w:rFonts w:eastAsia="Arial" w:cs="Arial" w:ascii="Arial" w:hAnsi="Arial"/>
                <w:sz w:val="20"/>
                <w:szCs w:val="20"/>
                <w:lang w:val="en-US"/>
              </w:rPr>
              <w:t xml:space="preserve"> under Apache License 2.0. The package can be installed via PyPI (</w:t>
            </w:r>
            <w:hyperlink r:id="rId6">
              <w:r>
                <w:rPr>
                  <w:rStyle w:val="Hyperlink"/>
                  <w:rFonts w:eastAsia="Arial" w:cs="Arial" w:ascii="Arial" w:hAnsi="Arial"/>
                  <w:sz w:val="20"/>
                  <w:szCs w:val="20"/>
                  <w:lang w:val="en-US"/>
                </w:rPr>
                <w:t>https://pypi.org/project/deepchopper/</w:t>
              </w:r>
            </w:hyperlink>
            <w:r>
              <w:rPr>
                <w:rFonts w:eastAsia="Arial" w:cs="Arial" w:ascii="Arial" w:hAnsi="Arial"/>
                <w:sz w:val="20"/>
                <w:szCs w:val="20"/>
                <w:lang w:val="en-US"/>
              </w:rPr>
              <w:t xml:space="preserve">) with distributions for Windows, Linux, and macOS. An interactive demo is available at </w:t>
            </w:r>
            <w:hyperlink r:id="rId7">
              <w:r>
                <w:rPr>
                  <w:rStyle w:val="Hyperlink"/>
                  <w:rFonts w:eastAsia="Arial" w:cs="Arial" w:ascii="Arial" w:hAnsi="Arial"/>
                  <w:sz w:val="20"/>
                  <w:szCs w:val="20"/>
                  <w:lang w:val="en-US"/>
                </w:rPr>
                <w:t>https://huggingface.co/spaces/yangliz5/deepchopper</w:t>
              </w:r>
            </w:hyperlink>
            <w:r>
              <w:rPr>
                <w:rFonts w:eastAsia="Arial" w:cs="Arial" w:ascii="Arial" w:hAnsi="Arial"/>
                <w:sz w:val="20"/>
                <w:szCs w:val="20"/>
                <w:lang w:val="en-US"/>
              </w:rPr>
              <w:t>.</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Methods</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Sufficient details of the experiments must be provided in the Methods section such that they could be reproduced without reference to published papers. Use of the term "as described previously" is not encouraged.</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methods fully described with reproducible detail</w:t>
            </w:r>
          </w:p>
        </w:tc>
      </w:tr>
      <w:tr>
        <w:trPr>
          <w:trHeight w:val="214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For all oligonucleotides (e.g. primers, RNAi, CRISPR), plasmids, please briefly describe how they were generated or, if they have been previously described, reference the corresponding publication(s) or state the company names and catalog numbers for commercial reagents. Oligonucleotide sequences should be provided in the Methods. If this information is lengthy, it may be provided in Excel format, as separate Supplementary Data, mentioning the file in the Methods. Please ensure that your Methods section mentions how you have made any such newly generated materials available for reuse and include contact details for sharing request if different from the corresponding author.</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381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that all accession codes used in this study (new ones AND previously published ones) are listed in the Data Availability statement, together with their corresponding hyperlink. Use precisely the following format to ensure that the links are permanent:</w:t>
            </w:r>
            <w:r>
              <w:rPr/>
              <w:br/>
            </w:r>
            <w:r>
              <w:rPr>
                <w:rFonts w:eastAsia="Arial" w:cs="Arial" w:ascii="Arial" w:hAnsi="Arial"/>
                <w:color w:themeColor="text1" w:val="000000"/>
                <w:sz w:val="20"/>
                <w:szCs w:val="20"/>
              </w:rPr>
              <w:t xml:space="preserve">   CODE [hyperlink] (description if necessary)</w:t>
            </w:r>
            <w:r>
              <w:rPr/>
              <w:br/>
            </w:r>
            <w:r>
              <w:rPr>
                <w:rFonts w:eastAsia="Arial" w:cs="Arial" w:ascii="Arial" w:hAnsi="Arial"/>
                <w:color w:themeColor="text1" w:val="000000"/>
                <w:sz w:val="20"/>
                <w:szCs w:val="20"/>
              </w:rPr>
              <w:t xml:space="preserve">   Use full DOI hyperlinks [</w:t>
            </w:r>
            <w:hyperlink r:id="rId8">
              <w:r>
                <w:rPr>
                  <w:rStyle w:val="Hyperlink"/>
                  <w:rFonts w:eastAsia="Arial" w:cs="Arial" w:ascii="Arial" w:hAnsi="Arial"/>
                  <w:sz w:val="20"/>
                  <w:szCs w:val="20"/>
                </w:rPr>
                <w:t>http://doi.org/xxxxx</w:t>
              </w:r>
            </w:hyperlink>
            <w:r>
              <w:rPr>
                <w:rFonts w:eastAsia="Arial" w:cs="Arial" w:ascii="Arial" w:hAnsi="Arial"/>
                <w:color w:themeColor="text1" w:val="000000"/>
                <w:sz w:val="20"/>
                <w:szCs w:val="20"/>
              </w:rPr>
              <w:t>] whenever possible.</w:t>
            </w:r>
            <w:r>
              <w:rPr/>
              <w:br/>
            </w:r>
            <w:r>
              <w:rPr>
                <w:rFonts w:eastAsia="Arial" w:cs="Arial" w:ascii="Arial" w:hAnsi="Arial"/>
                <w:color w:themeColor="text1" w:val="000000"/>
                <w:sz w:val="20"/>
                <w:szCs w:val="20"/>
              </w:rPr>
              <w:t xml:space="preserve">   For example:</w:t>
            </w:r>
            <w:r>
              <w:rPr/>
              <w:br/>
            </w:r>
            <w:r>
              <w:rPr>
                <w:rFonts w:eastAsia="Arial" w:cs="Arial" w:ascii="Arial" w:hAnsi="Arial"/>
                <w:color w:themeColor="text1" w:val="000000"/>
                <w:sz w:val="20"/>
                <w:szCs w:val="20"/>
              </w:rPr>
              <w:t xml:space="preserve">   5XRN [</w:t>
            </w:r>
            <w:hyperlink r:id="rId9">
              <w:r>
                <w:rPr>
                  <w:rStyle w:val="Hyperlink"/>
                  <w:rFonts w:eastAsia="Arial" w:cs="Arial" w:ascii="Arial" w:hAnsi="Arial"/>
                  <w:sz w:val="20"/>
                  <w:szCs w:val="20"/>
                </w:rPr>
                <w:t>http://doi.org/10.2210/pdb5XRN/pdb</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1483958 [</w:t>
            </w:r>
            <w:hyperlink r:id="rId10">
              <w:r>
                <w:rPr>
                  <w:rStyle w:val="Hyperlink"/>
                  <w:rFonts w:eastAsia="Arial" w:cs="Arial" w:ascii="Arial" w:hAnsi="Arial"/>
                  <w:sz w:val="20"/>
                  <w:szCs w:val="20"/>
                </w:rPr>
                <w:t>https://doi.org/10.5517/ccdc.csd.cc1lt5m6</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SRP109982 [</w:t>
            </w:r>
            <w:hyperlink r:id="rId11">
              <w:r>
                <w:rPr>
                  <w:rStyle w:val="Hyperlink"/>
                  <w:rFonts w:eastAsia="Arial" w:cs="Arial" w:ascii="Arial" w:hAnsi="Arial"/>
                  <w:sz w:val="20"/>
                  <w:szCs w:val="20"/>
                </w:rPr>
                <w:t>https://www.ncbi.nlm.nih.gov/sra/?term=SRP109982</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GSE101099 [</w:t>
            </w:r>
            <w:hyperlink r:id="rId12">
              <w:r>
                <w:rPr>
                  <w:rStyle w:val="Hyperlink"/>
                  <w:rFonts w:eastAsia="Arial" w:cs="Arial" w:ascii="Arial" w:hAnsi="Arial"/>
                  <w:sz w:val="20"/>
                  <w:szCs w:val="20"/>
                </w:rPr>
                <w:t>https://www.ncbi.nlm.nih.gov/geo/query/acc.cgi?acc=GSE101099</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NQLW00000000 [</w:t>
            </w:r>
            <w:hyperlink r:id="rId13">
              <w:r>
                <w:rPr>
                  <w:rStyle w:val="Hyperlink"/>
                  <w:rFonts w:eastAsia="Arial" w:cs="Arial" w:ascii="Arial" w:hAnsi="Arial"/>
                  <w:sz w:val="20"/>
                  <w:szCs w:val="20"/>
                </w:rPr>
                <w:t>https://www.ncbi.nlm.nih.gov/assembly/GCA_002312845.1/</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PXD016640 [</w:t>
            </w:r>
            <w:hyperlink r:id="rId14">
              <w:r>
                <w:rPr>
                  <w:rStyle w:val="Hyperlink"/>
                  <w:rFonts w:eastAsia="Arial" w:cs="Arial" w:ascii="Arial" w:hAnsi="Arial"/>
                  <w:sz w:val="20"/>
                  <w:szCs w:val="20"/>
                </w:rPr>
                <w:t>http://proteomecentral.proteomexchange.org/cgi/GetDataset?ID=PXD016640</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EMD-10857 [</w:t>
            </w:r>
            <w:hyperlink r:id="rId15">
              <w:r>
                <w:rPr>
                  <w:rStyle w:val="Hyperlink"/>
                  <w:rFonts w:eastAsia="Arial" w:cs="Arial" w:ascii="Arial" w:hAnsi="Arial"/>
                  <w:sz w:val="20"/>
                  <w:szCs w:val="20"/>
                </w:rPr>
                <w:t>https://www.ebi.ac.uk/pdbe/entry/emdb/EMD-10857</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BMRB 28095 [</w:t>
            </w:r>
            <w:hyperlink r:id="rId16">
              <w:r>
                <w:rPr>
                  <w:rStyle w:val="Hyperlink"/>
                  <w:rFonts w:eastAsia="Arial" w:cs="Arial" w:ascii="Arial" w:hAnsi="Arial"/>
                  <w:sz w:val="20"/>
                  <w:szCs w:val="20"/>
                </w:rPr>
                <w:t>https://dx.doi.org/10.13018/BMR28095</w:t>
              </w:r>
            </w:hyperlink>
            <w:r>
              <w:rPr>
                <w:rFonts w:eastAsia="Arial" w:cs="Arial" w:ascii="Arial" w:hAnsi="Arial"/>
                <w:color w:themeColor="text1" w:val="000000"/>
                <w:sz w:val="20"/>
                <w:szCs w:val="20"/>
              </w:rPr>
              <w: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accession codes formatted with full hyperlinks.</w:t>
            </w:r>
          </w:p>
        </w:tc>
      </w:tr>
      <w:tr>
        <w:trPr>
          <w:trHeight w:val="255" w:hRule="atLeast"/>
        </w:trPr>
        <w:tc>
          <w:tcPr>
            <w:tcW w:w="6760"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References</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16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references must be cited in numerical order. The reference list will be formatted according to the Nature style by our journal production team, however, please ensure that references contain all of the information required, eg:</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Kurumada, S., Takamori, S. &amp; Yamashita, M. An alkyl-substituted aluminium anion with strong basicity and nucleophilicity. &lt;i&gt;Nat. Chem.&lt;/i&gt; &lt;b&gt;12&lt;/b&gt;, 36–39 (2020).</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References numbered sequentially in order of citation with all required elements</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End matter</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16"/>
                <w:szCs w:val="16"/>
              </w:rPr>
              <w:t>Our guidance:</w:t>
            </w:r>
          </w:p>
        </w:tc>
        <w:tc>
          <w:tcPr>
            <w:tcW w:w="2600" w:type="dxa"/>
            <w:tcBorders/>
            <w:vAlign w:val="bottom"/>
          </w:tcPr>
          <w:p>
            <w:pPr>
              <w:pStyle w:val="Normal"/>
              <w:spacing w:before="0" w:after="0"/>
              <w:rPr/>
            </w:pPr>
            <w:r>
              <w:rPr>
                <w:rFonts w:eastAsia="Arial" w:cs="Arial" w:ascii="Arial" w:hAnsi="Arial"/>
                <w:color w:themeColor="text1" w:val="000000"/>
                <w:sz w:val="16"/>
                <w:szCs w:val="16"/>
              </w:rPr>
              <w:t>Your response:</w:t>
            </w:r>
          </w:p>
        </w:tc>
      </w:tr>
      <w:tr>
        <w:trPr>
          <w:trHeight w:val="3570" w:hRule="atLeast"/>
        </w:trPr>
        <w:tc>
          <w:tcPr>
            <w:tcW w:w="6760"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If there are no competing interests, a negative statement must be included.                             </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Competing interests statement included in manuscript and tracking system: “RY has served as an advisor/consultant for Tempus AI, Inc. This relationship is unrelated to and did not influence the research presented in this study.”</w:t>
            </w:r>
          </w:p>
        </w:tc>
      </w:tr>
      <w:tr>
        <w:trPr>
          <w:trHeight w:val="255" w:hRule="atLeast"/>
        </w:trPr>
        <w:tc>
          <w:tcPr>
            <w:tcW w:w="6760" w:type="dxa"/>
            <w:tcBorders>
              <w:start w:val="single" w:sz="4" w:space="0" w:color="000000"/>
              <w:bottom w:val="single" w:sz="4" w:space="0" w:color="000000"/>
            </w:tcBorders>
            <w:vAlign w:val="bottom"/>
          </w:tcPr>
          <w:p>
            <w:pPr>
              <w:pStyle w:val="Normal"/>
              <w:spacing w:before="0" w:after="0"/>
              <w:rPr/>
            </w:pPr>
            <w:hyperlink r:id="rId17">
              <w:r>
                <w:rPr>
                  <w:rStyle w:val="Hyperlink"/>
                  <w:rFonts w:eastAsia="Arial" w:cs="Arial" w:ascii="Arial" w:hAnsi="Arial"/>
                  <w:color w:val="0000FF"/>
                  <w:sz w:val="20"/>
                  <w:szCs w:val="20"/>
                </w:rPr>
                <w:t>https://www.nature.com/nature-research/editorial-policies/competing-interests</w:t>
              </w:r>
            </w:hyperlink>
          </w:p>
        </w:tc>
        <w:tc>
          <w:tcPr>
            <w:tcW w:w="2600"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0"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Please confirm that all relevant funding awarded to each author is described in the Acknowledgements section. List each grant number, followed by the initials of the author who received it.                                </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funding listed with grant numbers and author initials in Acknowledgements.</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Additional Revisions</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05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 xml:space="preserve">For any Supplementary Figures, please check and confirm that: </w:t>
            </w:r>
            <w:r>
              <w:rPr/>
              <w:br/>
            </w:r>
            <w:r>
              <w:rPr>
                <w:rFonts w:eastAsia="Arial" w:cs="Arial" w:ascii="Arial" w:hAnsi="Arial"/>
                <w:color w:themeColor="text1" w:val="000000"/>
                <w:sz w:val="20"/>
                <w:szCs w:val="20"/>
              </w:rPr>
              <w:t xml:space="preserve">* If data is presented as bar charts, individual data points are shown using overlaid dot plots. </w:t>
            </w:r>
            <w:r>
              <w:rPr/>
              <w:br/>
            </w:r>
            <w:r>
              <w:rPr>
                <w:rFonts w:eastAsia="Arial" w:cs="Arial" w:ascii="Arial" w:hAnsi="Arial"/>
                <w:color w:themeColor="text1" w:val="000000"/>
                <w:sz w:val="20"/>
                <w:szCs w:val="20"/>
              </w:rPr>
              <w:t xml:space="preserve">* The n number (i.e. the sample size used to derive statistics) is provided and defined as a precise value (not a range), using the wording “n=X samples/cells/independent experiments” etc. where applicable. </w:t>
            </w:r>
            <w:r>
              <w:rPr/>
              <w:br/>
            </w:r>
            <w:r>
              <w:rPr>
                <w:rFonts w:eastAsia="Arial" w:cs="Arial" w:ascii="Arial" w:hAnsi="Arial"/>
                <w:color w:themeColor="text1" w:val="000000"/>
                <w:sz w:val="20"/>
                <w:szCs w:val="20"/>
              </w:rPr>
              <w:t xml:space="preserve">* Any chart axis, error bars, scale bars, molecular weight markers, symbols and colour scales are defined. </w:t>
            </w:r>
            <w:r>
              <w:rPr/>
              <w:br/>
            </w:r>
            <w:r>
              <w:rPr>
                <w:rFonts w:eastAsia="Arial" w:cs="Arial" w:ascii="Arial" w:hAnsi="Arial"/>
                <w:color w:themeColor="text1" w:val="000000"/>
                <w:sz w:val="20"/>
                <w:szCs w:val="20"/>
              </w:rPr>
              <w:t xml:space="preserve">* Any statistical tests used for data analysis are specified and exact p-values are provided either on the figures themselves, in the legend or in the Source Data file. </w:t>
            </w:r>
            <w:r>
              <w:rPr/>
              <w:br/>
            </w:r>
            <w:r>
              <w:rPr>
                <w:rFonts w:eastAsia="Arial" w:cs="Arial" w:ascii="Arial" w:hAnsi="Arial"/>
                <w:color w:themeColor="text1" w:val="000000"/>
                <w:sz w:val="20"/>
                <w:szCs w:val="20"/>
              </w:rPr>
              <w:t xml:space="preserve">* Wherever representative data such as blots or micrographs are shown, the legend indicates how many times the experiment was repeated with similar results. </w:t>
            </w:r>
            <w:r>
              <w:rPr/>
              <w:br/>
            </w:r>
            <w:r>
              <w:rPr>
                <w:rFonts w:eastAsia="Arial" w:cs="Arial" w:ascii="Arial" w:hAnsi="Arial"/>
                <w:color w:themeColor="text1" w:val="000000"/>
                <w:sz w:val="20"/>
                <w:szCs w:val="20"/>
              </w:rPr>
              <w:t xml:space="preserve">* Full uncropped scans of any cropped gel/blot images are provided as an additional Supplementary Figure or in the Source Data file. </w:t>
            </w:r>
            <w:r>
              <w:rPr/>
              <w:br/>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figures meet requirements. Source data is included.</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Preparing your manuscript files</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top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5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Unless otherwise stated please limit individual file sizes to approximately 30MB. We strongly encourage the use of repositories for large datasets or source data due to size considerations.                                </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Individual files under 30MB; large datasets in GEO repository.</w:t>
            </w:r>
          </w:p>
        </w:tc>
      </w:tr>
      <w:tr>
        <w:trPr>
          <w:trHeight w:val="120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a brief summary (maximum 300 characters, including spaces) of the main findings of the paper to be used on our website and in our e-alerts. The summary should be written in the third person in language suitable for a broad audience. It should follow the structure: "[[Brief background in the first sentence]]. Here, the authors [[brief description of accomplishment]]." The summary may be edited by the editors prior to publication.</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Direct RNA sequencing suffers from chimera artifact contamination. Here, the authors develop DeepChopper, a genomic language model that detects artifacts with high accuracy, enabling more reliable transcriptome analysis.</w:t>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Large datasets exceeding an A4 page size should be supplied as Supplementary Data files to allow reuse, not Supplementary Tables.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Not applicable. All Supplementary Tables fit within A4 page size.</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the main manuscript file in either Microsoft Word or LaTeX format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Main manuscript file provided in LaTeX format.</w:t>
            </w:r>
          </w:p>
        </w:tc>
      </w:tr>
      <w:tr>
        <w:trPr>
          <w:trHeight w:val="96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Please provide figures as individual vector files with editable text. Acceptable file types for figures are .ai, .eps, .pdf, .ppt or Chem Draw for fully editable vector-based art. For detailed guidance on figure preparation, see </w:t>
            </w:r>
            <w:hyperlink r:id="rId18">
              <w:r>
                <w:rPr>
                  <w:rStyle w:val="Hyperlink"/>
                  <w:rFonts w:eastAsia="Arial" w:cs="Arial" w:ascii="Arial" w:hAnsi="Arial"/>
                  <w:sz w:val="20"/>
                  <w:szCs w:val="20"/>
                </w:rPr>
                <w:t>https://www.nature.com/documents/aj-artworkguidelines.pdf</w:t>
              </w:r>
            </w:hyperlink>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main figures provided as individual vector files (.pdf format) with editable text.</w:t>
            </w:r>
          </w:p>
        </w:tc>
      </w:tr>
      <w:tr>
        <w:trPr>
          <w:trHeight w:val="429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note that all Supplementary Information must be provided as a single separate PDF file, not within the manuscript file.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All Supplementary Information items (e.g. Supplementary Figures, Supplementary Tables, Supplementary Methods, Supplementary Notes, Supplementary Discussion, Supplementary References) must be included in one PDF document.  Please refer to our formatting guide when preparing your supplementary information file: </w:t>
            </w:r>
            <w:hyperlink r:id="rId19">
              <w:r>
                <w:rPr>
                  <w:rStyle w:val="Hyperlink"/>
                  <w:rFonts w:eastAsia="Arial" w:cs="Arial" w:ascii="Arial" w:hAnsi="Arial"/>
                  <w:sz w:val="20"/>
                  <w:szCs w:val="20"/>
                </w:rPr>
                <w:t>https://www.nature.com/documents/ncomms-formatting-instructions.pdf</w:t>
              </w:r>
            </w:hyperlink>
            <w:r>
              <w:rPr>
                <w:rFonts w:eastAsia="Arial" w:cs="Arial" w:ascii="Arial" w:hAnsi="Arial"/>
                <w:color w:themeColor="text1" w:val="000000"/>
                <w:sz w:val="20"/>
                <w:szCs w:val="20"/>
              </w:rPr>
              <w:t xml:space="preserve">   </w:t>
            </w:r>
            <w:r>
              <w:rPr/>
              <w:br/>
              <w:br/>
            </w:r>
            <w:r>
              <w:rPr>
                <w:rFonts w:eastAsia="Arial" w:cs="Arial" w:ascii="Arial" w:hAnsi="Arial"/>
                <w:color w:themeColor="text1" w:val="000000"/>
                <w:sz w:val="20"/>
                <w:szCs w:val="20"/>
              </w:rPr>
              <w:t>All Supplementary Information files (e.g. Supplementary Data, Supplementary Software, etc.) must be cited in the main text.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Every Supplementary Figure must be accompanied by a legend of up to 350 words, referring to all panels, and a brief title that summarises the whole figure.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Only Supplementary Movie, Audio, Data and Software files should be submitted separately from the Supplementary Information.</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Information in single PDF file with citations in main text.</w:t>
            </w:r>
          </w:p>
        </w:tc>
      </w:tr>
      <w:tr>
        <w:trPr>
          <w:trHeight w:val="5250" w:hRule="atLeast"/>
        </w:trPr>
        <w:tc>
          <w:tcPr>
            <w:tcW w:w="6760"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A copy of the publication license should be uploaded to our system as a related manuscript file upon resubmission.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please see the BioRender knowledge article here: </w:t>
            </w:r>
            <w:hyperlink r:id="rId20">
              <w:r>
                <w:rPr>
                  <w:rStyle w:val="Hyperlink"/>
                  <w:rFonts w:eastAsia="Arial" w:cs="Arial" w:ascii="Arial" w:hAnsi="Arial"/>
                  <w:sz w:val="20"/>
                  <w:szCs w:val="20"/>
                </w:rPr>
                <w:t>https://help.biorender.com/hc/en-gb/articles/21283116932765-CC-BY-publishing-and-reader-permissions</w:t>
              </w:r>
            </w:hyperlink>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on what constitutes ownership by a third party, please contact our Editorial Assistant at </w:t>
            </w:r>
            <w:hyperlink r:id="rId21">
              <w:r>
                <w:rPr>
                  <w:rStyle w:val="Hyperlink"/>
                  <w:rFonts w:eastAsia="Arial" w:cs="Arial" w:ascii="Arial" w:hAnsi="Arial"/>
                  <w:sz w:val="20"/>
                  <w:szCs w:val="20"/>
                </w:rPr>
                <w:t>naturecommunications@nature.com</w:t>
              </w:r>
            </w:hyperlink>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BioRender publication license obtained and will be uploaded.  No other third-party images are used in manuscript or Supplementary Information.</w:t>
            </w:r>
          </w:p>
        </w:tc>
      </w:tr>
      <w:tr>
        <w:trPr>
          <w:trHeight w:val="255" w:hRule="atLeast"/>
        </w:trPr>
        <w:tc>
          <w:tcPr>
            <w:tcW w:w="6760" w:type="dxa"/>
            <w:tcBorders>
              <w:start w:val="single" w:sz="4" w:space="0" w:color="000000"/>
              <w:end w:val="single" w:sz="4" w:space="0" w:color="000000"/>
            </w:tcBorders>
          </w:tcPr>
          <w:p>
            <w:pPr>
              <w:pStyle w:val="Normal"/>
              <w:widowControl/>
              <w:bidi w:val="0"/>
              <w:spacing w:lineRule="auto" w:line="278" w:before="0" w:after="160"/>
              <w:jc w:val="start"/>
              <w:rPr/>
            </w:pPr>
            <w:r>
              <w:rPr/>
            </w:r>
          </w:p>
        </w:tc>
        <w:tc>
          <w:tcPr>
            <w:tcW w:w="2600"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0" w:type="dxa"/>
            <w:tcBorders>
              <w:start w:val="single" w:sz="4" w:space="0" w:color="000000"/>
              <w:bottom w:val="single" w:sz="4" w:space="0" w:color="000000"/>
            </w:tcBorders>
          </w:tcPr>
          <w:p>
            <w:pPr>
              <w:pStyle w:val="Normal"/>
              <w:spacing w:before="0" w:after="0"/>
              <w:rPr/>
            </w:pPr>
            <w:r>
              <w:rPr>
                <w:rFonts w:eastAsia="Arial" w:cs="Arial" w:ascii="Arial" w:hAnsi="Arial"/>
                <w:b/>
                <w:bCs/>
                <w:color w:themeColor="text1" w:val="000000"/>
                <w:sz w:val="20"/>
                <w:szCs w:val="20"/>
              </w:rPr>
              <w:t>Please note that suspected third party content is present in figure 1a. However, all figures were created using Biorender as provided by the author in the legends of figure itself. Kindly look into this.</w:t>
            </w:r>
          </w:p>
        </w:tc>
        <w:tc>
          <w:tcPr>
            <w:tcW w:w="2600"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Figure 1a was created by the authors and only incorporates BioRender graphical elements (icons) within the original figure design. The figure was not created entirely in BioRender. We assembled the overall figure layout ourselves and used BioRender elements for specific icons.</w:t>
            </w:r>
          </w:p>
        </w:tc>
      </w:tr>
      <w:tr>
        <w:trPr>
          <w:trHeight w:val="255" w:hRule="atLeast"/>
        </w:trPr>
        <w:tc>
          <w:tcPr>
            <w:tcW w:w="6760"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Forms to complete</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0"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b/>
                <w:bCs/>
                <w:color w:themeColor="text1" w:val="000000"/>
                <w:sz w:val="20"/>
                <w:szCs w:val="20"/>
              </w:rPr>
              <w:t>Reporting Summary</w:t>
            </w:r>
          </w:p>
        </w:tc>
        <w:tc>
          <w:tcPr>
            <w:tcW w:w="2600"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0"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600"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Reporting Summary will be included.</w:t>
            </w:r>
          </w:p>
        </w:tc>
      </w:tr>
      <w:tr>
        <w:trPr>
          <w:trHeight w:val="255" w:hRule="atLeast"/>
        </w:trPr>
        <w:tc>
          <w:tcPr>
            <w:tcW w:w="6760" w:type="dxa"/>
            <w:tcBorders>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update your current checklist or download from:</w:t>
            </w:r>
          </w:p>
        </w:tc>
        <w:tc>
          <w:tcPr>
            <w:tcW w:w="2600"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0" w:type="dxa"/>
            <w:tcBorders>
              <w:start w:val="single" w:sz="4" w:space="0" w:color="000000"/>
              <w:bottom w:val="single" w:sz="4" w:space="0" w:color="000000"/>
            </w:tcBorders>
            <w:vAlign w:val="bottom"/>
          </w:tcPr>
          <w:p>
            <w:pPr>
              <w:pStyle w:val="Normal"/>
              <w:spacing w:before="0" w:after="0"/>
              <w:rPr/>
            </w:pPr>
            <w:hyperlink r:id="rId22">
              <w:r>
                <w:rPr>
                  <w:rStyle w:val="Hyperlink"/>
                  <w:rFonts w:eastAsia="Arial" w:cs="Arial" w:ascii="Arial" w:hAnsi="Arial"/>
                  <w:sz w:val="20"/>
                  <w:szCs w:val="20"/>
                </w:rPr>
                <w:t>https://www.nature.com/documents/nr-reporting-summary.pdf</w:t>
              </w:r>
            </w:hyperlink>
          </w:p>
        </w:tc>
        <w:tc>
          <w:tcPr>
            <w:tcW w:w="2600"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0" w:type="dxa"/>
            <w:tcBorders>
              <w:top w:val="single" w:sz="4" w:space="0" w:color="000000"/>
            </w:tcBorders>
            <w:vAlign w:val="bottom"/>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360" w:hRule="atLeast"/>
        </w:trPr>
        <w:tc>
          <w:tcPr>
            <w:tcW w:w="6760" w:type="dxa"/>
            <w:tcBorders/>
            <w:vAlign w:val="bottom"/>
          </w:tcPr>
          <w:p>
            <w:pPr>
              <w:pStyle w:val="Normal"/>
              <w:spacing w:before="0" w:after="0"/>
              <w:rPr/>
            </w:pPr>
            <w:r>
              <w:rPr>
                <w:rFonts w:eastAsia="Arial" w:cs="Arial" w:ascii="Arial" w:hAnsi="Arial"/>
                <w:b/>
                <w:bCs/>
                <w:color w:val="666666"/>
                <w:sz w:val="28"/>
                <w:szCs w:val="28"/>
              </w:rPr>
              <w:t>Reporting Summary</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General Instructions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Our reporting summary has been updated to include sections on reporting of sex and gender, race, ethnicity, or other socially relevant groupings and Plants. Please download an up-to-date copy of the reporting summary (</w:t>
            </w:r>
            <w:hyperlink r:id="rId23">
              <w:r>
                <w:rPr>
                  <w:rStyle w:val="Hyperlink"/>
                  <w:rFonts w:eastAsia="Arial" w:cs="Arial" w:ascii="Arial" w:hAnsi="Arial"/>
                  <w:sz w:val="20"/>
                  <w:szCs w:val="20"/>
                </w:rPr>
                <w:t>https://www.nature.com/documents/nr-reporting-summary.pdf</w:t>
              </w:r>
            </w:hyperlink>
            <w:r>
              <w:rPr>
                <w:rFonts w:eastAsia="Arial" w:cs="Arial" w:ascii="Arial" w:hAnsi="Arial"/>
                <w:color w:themeColor="text1" w:val="000000"/>
                <w:sz w:val="20"/>
                <w:szCs w:val="20"/>
              </w:rPr>
              <w:t>) and include a completed copy in your resubmission, taking into account our comments below.</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Updated Reporting Summary will be downloaded, completed with new sections, and included in resubmission.</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Statistics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6: Please mark this field as "confirmed", as data corresponding to measures of central tendency like mean and measures of variation like standard error of mean, standard deviation, etc. have been referenced in the manuscript.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7: Please mark this field as "confirmed", as p values derived from statistical tests have been referenced in the manuscript.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3: Please mark this field as "confirmed", as statistical tests have been referenced in the manuscript.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Software</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all the data collection/data analysis software/tools/algorithms/packages used in the study are clearly mentioned in the manuscript and are also listed in the reporting summary (with version numbers).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software and tools listed with version numbers in manuscript and Reporting Summary.</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Data Availability</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provide a complete data availability statement in the manuscript and in the reporting summary.</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Complete Data Availability statement in manuscript and Reporting Summary.</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Field Specific Reporting</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Life Sciences Study Design</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96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the general measures taken to verify the reproducibility of the experimental findings. If all attempts at replication were successful, confirm this OR if there are any findings that were not replicated or cannot be reproduced, note this and describe why.</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study involves only computational analyses, no wet lab experiments. All computational findings are fully reproducible with documented parameters and open-source code</w:t>
            </w:r>
          </w:p>
        </w:tc>
      </w:tr>
      <w:tr>
        <w:trPr>
          <w:trHeight w:val="144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how sample sizes were determined (for all experiments performed in this study) and provide a rationale for how they were chosen, detailing any statistical methods used to predetermine sample size and/or including relevant citations if available.  If no sample size calculation was performed, describe how sample sizes were chosen and provide a rationale for why these sample sizes are sufficient.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computational study uses existing public datasets. Sample sizes are determined by availability and need for diverse benchmarking across RNA types, protocols, and species. No statistical power calculation performed; dataset selection ensures comprehensive method of evaluation.</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Eukaryotic cell lines</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1200"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identify in the Methods section and in the reporting summary the name and source of all cell lines used, (with catalog number if obtained from vendor or cell bank). If any cell line(s) are established from primary cells of humans or vertebrate models, then please ensure the sex is specified in this field of the reporting summary.</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tcBorders>
          </w:tcPr>
          <w:p>
            <w:pPr>
              <w:pStyle w:val="Normal"/>
              <w:widowControl/>
              <w:bidi w:val="0"/>
              <w:spacing w:lineRule="auto" w:line="278" w:before="0" w:after="160"/>
              <w:jc w:val="start"/>
              <w:rPr/>
            </w:pPr>
            <w:r>
              <w:rPr/>
            </w:r>
          </w:p>
        </w:tc>
        <w:tc>
          <w:tcPr>
            <w:tcW w:w="2600" w:type="dxa"/>
            <w:tcBorders>
              <w:top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0" w:type="dxa"/>
            <w:tcBorders/>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cPr>
          <w:p>
            <w:pPr>
              <w:pStyle w:val="Normal"/>
              <w:widowControl/>
              <w:bidi w:val="0"/>
              <w:spacing w:lineRule="auto" w:line="278" w:before="0" w:after="160"/>
              <w:jc w:val="start"/>
              <w:rPr/>
            </w:pPr>
            <w:r>
              <w:rPr/>
            </w:r>
          </w:p>
        </w:tc>
        <w:tc>
          <w:tcPr>
            <w:tcW w:w="2600" w:type="dxa"/>
            <w:tcBorders/>
            <w:vAlign w:val="bottom"/>
          </w:tcPr>
          <w:p>
            <w:pPr>
              <w:pStyle w:val="Normal"/>
              <w:widowControl/>
              <w:bidi w:val="0"/>
              <w:spacing w:lineRule="auto" w:line="278" w:before="0" w:after="160"/>
              <w:jc w:val="start"/>
              <w:rPr/>
            </w:pPr>
            <w:r>
              <w:rPr/>
            </w:r>
          </w:p>
        </w:tc>
      </w:tr>
      <w:tr>
        <w:trPr>
          <w:trHeight w:val="360" w:hRule="atLeast"/>
        </w:trPr>
        <w:tc>
          <w:tcPr>
            <w:tcW w:w="6760" w:type="dxa"/>
            <w:tcBorders/>
          </w:tcPr>
          <w:p>
            <w:pPr>
              <w:pStyle w:val="Normal"/>
              <w:spacing w:before="0" w:after="0"/>
              <w:rPr/>
            </w:pPr>
            <w:r>
              <w:rPr>
                <w:rFonts w:eastAsia="Arial" w:cs="Arial" w:ascii="Arial" w:hAnsi="Arial"/>
                <w:b/>
                <w:bCs/>
                <w:color w:val="FF0000"/>
                <w:sz w:val="28"/>
                <w:szCs w:val="28"/>
              </w:rPr>
              <w:t>You will need to upload:</w:t>
            </w:r>
          </w:p>
        </w:tc>
        <w:tc>
          <w:tcPr>
            <w:tcW w:w="2600" w:type="dxa"/>
            <w:tcBorders/>
            <w:vAlign w:val="bottom"/>
          </w:tcPr>
          <w:p>
            <w:pPr>
              <w:pStyle w:val="Normal"/>
              <w:widowControl/>
              <w:bidi w:val="0"/>
              <w:spacing w:lineRule="auto" w:line="278" w:before="0" w:after="160"/>
              <w:jc w:val="start"/>
              <w:rPr/>
            </w:pPr>
            <w:r>
              <w:rPr/>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Completed Third Party Rights Table (if relevant)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Not applicable</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completed copy of this checklist in .docx format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The main manuscript file in either Microsoft Word or LaTeX format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Separate Figure files (one file per figure)</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Inventory of Supporting Information in .docx format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Supplementary Information file in .pdf format</w:t>
            </w:r>
          </w:p>
        </w:tc>
        <w:tc>
          <w:tcPr>
            <w:tcW w:w="2600"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bl>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 w:cs="" w:asciiTheme="minorHAnsi" w:cstheme="minorBidi" w:eastAsiaTheme="minorEastAsia" w:hAnsiTheme="minorHAnsi"/>
      <w:color w:val="auto"/>
      <w:kern w:val="0"/>
      <w:sz w:val="24"/>
      <w:szCs w:val="24"/>
      <w:lang w:val="en-US" w:eastAsia="ja-JP"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4fb33307"/>
    <w:rPr>
      <w:color w:val="467886"/>
      <w:u w:val="single"/>
    </w:rPr>
  </w:style>
  <w:style w:type="character" w:styleId="Style1Char" w:customStyle="1">
    <w:name w:val="Style1 Char"/>
    <w:basedOn w:val="DefaultParagraphFont"/>
    <w:link w:val="Style14"/>
    <w:qFormat/>
    <w:rsid w:val="1fdb1162"/>
    <w:rPr>
      <w:rFonts w:ascii="Aptos" w:hAnsi="Aptos" w:eastAsia="" w:cs="" w:asciiTheme="minorAscii" w:cstheme="minorBidi" w:eastAsiaTheme="minorEastAsia" w:hAnsiTheme="minorAscii"/>
      <w:sz w:val="24"/>
      <w:szCs w:val="24"/>
    </w:rPr>
  </w:style>
  <w:style w:type="character" w:styleId="Style2Char" w:customStyle="1">
    <w:name w:val="Style2 Char"/>
    <w:basedOn w:val="DefaultParagraphFont"/>
    <w:link w:val="Style21"/>
    <w:qFormat/>
    <w:rsid w:val="1fdb1162"/>
    <w:rPr>
      <w:rFonts w:ascii="Aptos" w:hAnsi="Aptos" w:eastAsia="" w:cs="" w:asciiTheme="minorAscii" w:cstheme="minorBidi" w:eastAsiaTheme="minorEastAsia" w:hAnsiTheme="minorAscii"/>
      <w:color w:themeColor="text1"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customStyle="1">
    <w:name w:val="Style1"/>
    <w:basedOn w:val="Normal"/>
    <w:link w:val="Style1Char"/>
    <w:uiPriority w:val="1"/>
    <w:qFormat/>
    <w:rsid w:val="1fdb1162"/>
    <w:pPr/>
    <w:rPr>
      <w:rFonts w:ascii="Aptos" w:hAnsi="Aptos" w:eastAsia="" w:cs="" w:asciiTheme="minorAscii" w:cstheme="minorBidi" w:eastAsiaTheme="minorEastAsia" w:hAnsiTheme="minorAscii"/>
      <w:sz w:val="24"/>
      <w:szCs w:val="24"/>
    </w:rPr>
  </w:style>
  <w:style w:type="paragraph" w:styleId="Style21" w:customStyle="1">
    <w:name w:val="Style2"/>
    <w:basedOn w:val="Normal"/>
    <w:link w:val="Style2Char"/>
    <w:uiPriority w:val="1"/>
    <w:qFormat/>
    <w:rsid w:val="1fdb1162"/>
    <w:pPr>
      <w:spacing w:before="0" w:after="0"/>
    </w:pPr>
    <w:rPr>
      <w:rFonts w:ascii="Aptos" w:hAnsi="Aptos" w:eastAsia="" w:cs="" w:asciiTheme="minorAscii" w:cstheme="minorBidi" w:eastAsiaTheme="minorEastAsia" w:hAnsiTheme="minorAscii"/>
      <w:color w:themeColor="text1" w:val="000000"/>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documents/NRJs-guide-to-preparing-final-artwork.pdf" TargetMode="External"/><Relationship Id="rId3" Type="http://schemas.openxmlformats.org/officeDocument/2006/relationships/hyperlink" Target="https://www.springernature.com/gp/authors/research-data-policy/recommended-repositories" TargetMode="External"/><Relationship Id="rId4" Type="http://schemas.openxmlformats.org/officeDocument/2006/relationships/hyperlink" Target="https://www.ncbi.nlm.nih.gov/geo/query/acc.cgi?acc=GSE277934" TargetMode="External"/><Relationship Id="rId5" Type="http://schemas.openxmlformats.org/officeDocument/2006/relationships/hyperlink" Target="https://github.com/ylab-hi/DeepChopper" TargetMode="External"/><Relationship Id="rId6" Type="http://schemas.openxmlformats.org/officeDocument/2006/relationships/hyperlink" Target="https://pypi.org/project/deepchopper/" TargetMode="External"/><Relationship Id="rId7" Type="http://schemas.openxmlformats.org/officeDocument/2006/relationships/hyperlink" Target="https://huggingface.co/spaces/yangliz5/deepchopper" TargetMode="External"/><Relationship Id="rId8" Type="http://schemas.openxmlformats.org/officeDocument/2006/relationships/hyperlink" Target="http://doi.org/xxxxx" TargetMode="External"/><Relationship Id="rId9" Type="http://schemas.openxmlformats.org/officeDocument/2006/relationships/hyperlink" Target="http://doi.org/10.2210/pdb5XRN/pdb" TargetMode="External"/><Relationship Id="rId10" Type="http://schemas.openxmlformats.org/officeDocument/2006/relationships/hyperlink" Target="https://doi.org/10.5517/ccdc.csd.cc1lt5m6" TargetMode="External"/><Relationship Id="rId11" Type="http://schemas.openxmlformats.org/officeDocument/2006/relationships/hyperlink" Target="https://www.ncbi.nlm.nih.gov/sra/?term=SRP109982" TargetMode="External"/><Relationship Id="rId12" Type="http://schemas.openxmlformats.org/officeDocument/2006/relationships/hyperlink" Target="https://www.ncbi.nlm.nih.gov/geo/query/acc.cgi?acc=GSE101099" TargetMode="External"/><Relationship Id="rId13" Type="http://schemas.openxmlformats.org/officeDocument/2006/relationships/hyperlink" Target="https://www.ncbi.nlm.nih.gov/assembly/GCA_002312845.1/" TargetMode="External"/><Relationship Id="rId14" Type="http://schemas.openxmlformats.org/officeDocument/2006/relationships/hyperlink" Target="http://proteomecentral.proteomexchange.org/cgi/GetDataset?ID=PXD016640" TargetMode="External"/><Relationship Id="rId15" Type="http://schemas.openxmlformats.org/officeDocument/2006/relationships/hyperlink" Target="https://www.ebi.ac.uk/pdbe/entry/emdb/EMD-10857" TargetMode="External"/><Relationship Id="rId16" Type="http://schemas.openxmlformats.org/officeDocument/2006/relationships/hyperlink" Target="https://dx.doi.org/10.13018/BMR28095" TargetMode="External"/><Relationship Id="rId17" Type="http://schemas.openxmlformats.org/officeDocument/2006/relationships/hyperlink" Target="https://www.nature.com/nature-research/editorial-policies/competing-interests" TargetMode="External"/><Relationship Id="rId18" Type="http://schemas.openxmlformats.org/officeDocument/2006/relationships/hyperlink" Target="https://www.nature.com/documents/aj-artworkguidelines.pdf" TargetMode="External"/><Relationship Id="rId19" Type="http://schemas.openxmlformats.org/officeDocument/2006/relationships/hyperlink" Target="https://www.nature.com/documents/ncomms-formatting-instructions.pdf" TargetMode="External"/><Relationship Id="rId20" Type="http://schemas.openxmlformats.org/officeDocument/2006/relationships/hyperlink" Target="https://help.biorender.com/hc/en-gb/articles/21283116932765-CC-BY-publishing-and-reader-permissions" TargetMode="External"/><Relationship Id="rId21" Type="http://schemas.openxmlformats.org/officeDocument/2006/relationships/hyperlink" Target="mailto:naturecommunications@nature.com" TargetMode="External"/><Relationship Id="rId22" Type="http://schemas.openxmlformats.org/officeDocument/2006/relationships/hyperlink" Target="https://www.nature.com/documents/nr-reporting-summary.pdf" TargetMode="External"/><Relationship Id="rId23" Type="http://schemas.openxmlformats.org/officeDocument/2006/relationships/hyperlink" Target="https://www.nature.com/documents/nr-reporting-summary.pdf" TargetMode="Externa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LibreOffice/25.8.4.2$Linux_X86_64 LibreOffice_project/580$Build-2</Application>
  <AppVersion>15.0000</AppVersion>
  <Pages>13</Pages>
  <Words>3847</Words>
  <Characters>23416</Characters>
  <CharactersWithSpaces>27399</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2025-12-27T15:22:00Z</dcterms:created>
  <dc:creator>Minju Ha</dc:creator>
  <dc:description/>
  <dc:language>en-US</dc:language>
  <cp:lastModifiedBy/>
  <dcterms:modified xsi:type="dcterms:W3CDTF">2025-12-29T11:54:43Z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