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28"/>
        </w:rPr>
        <w:t>CHAPTER 11 BANKRUPTCY ESTATE ASSET DECLARATION</w:t>
      </w:r>
    </w:p>
    <w:p>
      <w:pPr>
        <w:jc w:val="left"/>
      </w:pPr>
      <w:r>
        <w:rPr>
          <w:b/>
          <w:color w:val="16213E"/>
          <w:sz w:val="24"/>
        </w:rPr>
        <w:t>USEC Inc. — $500,000,000 Dual-Tranche Senior Notes</w:t>
      </w:r>
    </w:p>
    <w:p>
      <w:pPr>
        <w:jc w:val="center"/>
      </w:pPr>
      <w:r>
        <w:rPr>
          <w:i/>
          <w:sz w:val="20"/>
        </w:rPr>
        <w:t>In re: USEC Inc., Debtor  |  United States Bankruptcy Court</w:t>
      </w:r>
    </w:p>
    <w:p/>
    <w:p>
      <w:pPr>
        <w:jc w:val="left"/>
      </w:pPr>
      <w:r>
        <w:rPr>
          <w:b/>
          <w:color w:val="16213E"/>
          <w:sz w:val="24"/>
        </w:rPr>
        <w:t>PRELIMINARY STATEMENT</w:t>
      </w:r>
    </w:p>
    <w:p>
      <w:r>
        <w:rPr>
          <w:b w:val="0"/>
          <w:sz w:val="20"/>
        </w:rPr>
        <w:t>Pursuant to 11 U.S.C. §§ 521, 541, and 1125, and Federal Rules of Bankruptcy Procedure 1007 and 3003, the Debtor, USEC Inc. (NYSE: USU), hereby declares and schedules the following publicly issued debt securities as property of the bankruptcy estate under 11 U.S.C. § 541(a)(1), subject to the rights and claims of all holders and the priority waterfall established under applicable law and the governing indenture.</w:t>
      </w:r>
    </w:p>
    <w:p/>
    <w:p>
      <w:pPr>
        <w:jc w:val="left"/>
      </w:pPr>
      <w:r>
        <w:rPr>
          <w:b/>
          <w:color w:val="16213E"/>
          <w:sz w:val="24"/>
        </w:rPr>
        <w:t>PART I — SECURITY IDENTIFICATION &amp; ASSET PROFILE</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Field</w:t>
            </w:r>
          </w:p>
        </w:tc>
        <w:tc>
          <w:tcPr>
            <w:tcW w:type="dxa" w:w="4320"/>
          </w:tcPr>
          <w:p>
            <w:r>
              <w:rPr>
                <w:b/>
                <w:sz w:val="18"/>
              </w:rPr>
              <w:t>Detail</w:t>
            </w:r>
          </w:p>
        </w:tc>
      </w:tr>
      <w:tr>
        <w:tc>
          <w:tcPr>
            <w:tcW w:type="dxa" w:w="4320"/>
          </w:tcPr>
          <w:p>
            <w:r>
              <w:rPr>
                <w:sz w:val="18"/>
              </w:rPr>
              <w:t>Issuer / Debtor</w:t>
            </w:r>
          </w:p>
        </w:tc>
        <w:tc>
          <w:tcPr>
            <w:tcW w:type="dxa" w:w="4320"/>
          </w:tcPr>
          <w:p>
            <w:r>
              <w:rPr>
                <w:sz w:val="18"/>
              </w:rPr>
              <w:t>USEC Inc.</w:t>
            </w:r>
          </w:p>
        </w:tc>
      </w:tr>
      <w:tr>
        <w:tc>
          <w:tcPr>
            <w:tcW w:type="dxa" w:w="4320"/>
          </w:tcPr>
          <w:p>
            <w:r>
              <w:rPr>
                <w:sz w:val="18"/>
              </w:rPr>
              <w:t>Exchange Ticker</w:t>
            </w:r>
          </w:p>
        </w:tc>
        <w:tc>
          <w:tcPr>
            <w:tcW w:type="dxa" w:w="4320"/>
          </w:tcPr>
          <w:p>
            <w:r>
              <w:rPr>
                <w:sz w:val="18"/>
              </w:rPr>
              <w:t>NYSE: USU</w:t>
            </w:r>
          </w:p>
        </w:tc>
      </w:tr>
      <w:tr>
        <w:tc>
          <w:tcPr>
            <w:tcW w:type="dxa" w:w="4320"/>
          </w:tcPr>
          <w:p>
            <w:r>
              <w:rPr>
                <w:sz w:val="18"/>
              </w:rPr>
              <w:t>Asset Classification</w:t>
            </w:r>
          </w:p>
        </w:tc>
        <w:tc>
          <w:tcPr>
            <w:tcW w:type="dxa" w:w="4320"/>
          </w:tcPr>
          <w:p>
            <w:r>
              <w:rPr>
                <w:sz w:val="18"/>
              </w:rPr>
              <w:t>Corporate Fixed Income — Unsecured Senior Notes</w:t>
            </w:r>
          </w:p>
        </w:tc>
      </w:tr>
      <w:tr>
        <w:tc>
          <w:tcPr>
            <w:tcW w:type="dxa" w:w="4320"/>
          </w:tcPr>
          <w:p>
            <w:r>
              <w:rPr>
                <w:sz w:val="18"/>
              </w:rPr>
              <w:t>SEC Registration</w:t>
            </w:r>
          </w:p>
        </w:tc>
        <w:tc>
          <w:tcPr>
            <w:tcW w:type="dxa" w:w="4320"/>
          </w:tcPr>
          <w:p>
            <w:r>
              <w:rPr>
                <w:sz w:val="18"/>
              </w:rPr>
              <w:t>Public Offering (SEC-Registered)</w:t>
            </w:r>
          </w:p>
        </w:tc>
      </w:tr>
      <w:tr>
        <w:tc>
          <w:tcPr>
            <w:tcW w:type="dxa" w:w="4320"/>
          </w:tcPr>
          <w:p>
            <w:r>
              <w:rPr>
                <w:sz w:val="18"/>
              </w:rPr>
              <w:t>Clearing / Settlement</w:t>
            </w:r>
          </w:p>
        </w:tc>
        <w:tc>
          <w:tcPr>
            <w:tcW w:type="dxa" w:w="4320"/>
          </w:tcPr>
          <w:p>
            <w:r>
              <w:rPr>
                <w:sz w:val="18"/>
              </w:rPr>
              <w:t>Book-Entry Form via The Depository Trust Company (DTC)</w:t>
            </w:r>
          </w:p>
        </w:tc>
      </w:tr>
      <w:tr>
        <w:tc>
          <w:tcPr>
            <w:tcW w:type="dxa" w:w="4320"/>
          </w:tcPr>
          <w:p>
            <w:r>
              <w:rPr>
                <w:sz w:val="18"/>
              </w:rPr>
              <w:t>Pricing Date</w:t>
            </w:r>
          </w:p>
        </w:tc>
        <w:tc>
          <w:tcPr>
            <w:tcW w:type="dxa" w:w="4320"/>
          </w:tcPr>
          <w:p>
            <w:r>
              <w:rPr>
                <w:sz w:val="18"/>
              </w:rPr>
              <w:t>January 14, 1999</w:t>
            </w:r>
          </w:p>
        </w:tc>
      </w:tr>
      <w:tr>
        <w:tc>
          <w:tcPr>
            <w:tcW w:type="dxa" w:w="4320"/>
          </w:tcPr>
          <w:p>
            <w:r>
              <w:rPr>
                <w:sz w:val="18"/>
              </w:rPr>
              <w:t>Settlement Date</w:t>
            </w:r>
          </w:p>
        </w:tc>
        <w:tc>
          <w:tcPr>
            <w:tcW w:type="dxa" w:w="4320"/>
          </w:tcPr>
          <w:p>
            <w:r>
              <w:rPr>
                <w:sz w:val="18"/>
              </w:rPr>
              <w:t>January 20, 1999</w:t>
            </w:r>
          </w:p>
        </w:tc>
      </w:tr>
      <w:tr>
        <w:tc>
          <w:tcPr>
            <w:tcW w:type="dxa" w:w="4320"/>
          </w:tcPr>
          <w:p>
            <w:r>
              <w:rPr>
                <w:sz w:val="18"/>
              </w:rPr>
              <w:t>Total Principal Obligation</w:t>
            </w:r>
          </w:p>
        </w:tc>
        <w:tc>
          <w:tcPr>
            <w:tcW w:type="dxa" w:w="4320"/>
          </w:tcPr>
          <w:p>
            <w:r>
              <w:rPr>
                <w:sz w:val="18"/>
              </w:rPr>
              <w:t>$500,000,000</w:t>
            </w:r>
          </w:p>
        </w:tc>
      </w:tr>
      <w:tr>
        <w:tc>
          <w:tcPr>
            <w:tcW w:type="dxa" w:w="4320"/>
          </w:tcPr>
          <w:p>
            <w:r>
              <w:rPr>
                <w:sz w:val="18"/>
              </w:rPr>
              <w:t>Denomination Minimum</w:t>
            </w:r>
          </w:p>
        </w:tc>
        <w:tc>
          <w:tcPr>
            <w:tcW w:type="dxa" w:w="4320"/>
          </w:tcPr>
          <w:p>
            <w:r>
              <w:rPr>
                <w:sz w:val="18"/>
              </w:rPr>
              <w:t>$1,000 (in $1,000 multiples)</w:t>
            </w:r>
          </w:p>
        </w:tc>
      </w:tr>
      <w:tr>
        <w:tc>
          <w:tcPr>
            <w:tcW w:type="dxa" w:w="4320"/>
          </w:tcPr>
          <w:p>
            <w:r>
              <w:rPr>
                <w:sz w:val="18"/>
              </w:rPr>
              <w:t>Indenture Type</w:t>
            </w:r>
          </w:p>
        </w:tc>
        <w:tc>
          <w:tcPr>
            <w:tcW w:type="dxa" w:w="4320"/>
          </w:tcPr>
          <w:p>
            <w:r>
              <w:rPr>
                <w:sz w:val="18"/>
              </w:rPr>
              <w:t>Unsecured; Pari Passu — ranks equally with all other unsecured senior indebtedness</w:t>
            </w:r>
          </w:p>
        </w:tc>
      </w:tr>
    </w:tbl>
    <w:p/>
    <w:p>
      <w:pPr>
        <w:jc w:val="left"/>
      </w:pPr>
      <w:r>
        <w:rPr>
          <w:b/>
          <w:color w:val="16213E"/>
          <w:sz w:val="24"/>
        </w:rPr>
        <w:t>PART II — TRANCHE STRUCTURE (DUAL-TRANCHE OBLIGATION)</w:t>
      </w:r>
    </w:p>
    <w:p>
      <w:pPr>
        <w:jc w:val="left"/>
      </w:pPr>
      <w:r>
        <w:rPr>
          <w:b/>
          <w:color w:val="0F3C5C"/>
          <w:sz w:val="20"/>
        </w:rPr>
        <w:t>Tranche A — 2006 Senior Notes ($350M @ 6.625%)</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rPr>
                <w:sz w:val="18"/>
              </w:rPr>
              <w:t>Principal Amount</w:t>
            </w:r>
          </w:p>
        </w:tc>
        <w:tc>
          <w:tcPr>
            <w:tcW w:type="dxa" w:w="4320"/>
          </w:tcPr>
          <w:p>
            <w:r>
              <w:rPr>
                <w:sz w:val="18"/>
              </w:rPr>
              <w:t>$350,000,000</w:t>
            </w:r>
          </w:p>
        </w:tc>
      </w:tr>
      <w:tr>
        <w:tc>
          <w:tcPr>
            <w:tcW w:type="dxa" w:w="4320"/>
          </w:tcPr>
          <w:p>
            <w:r>
              <w:rPr>
                <w:sz w:val="18"/>
              </w:rPr>
              <w:t>Coupon Rate</w:t>
            </w:r>
          </w:p>
        </w:tc>
        <w:tc>
          <w:tcPr>
            <w:tcW w:type="dxa" w:w="4320"/>
          </w:tcPr>
          <w:p>
            <w:r>
              <w:rPr>
                <w:sz w:val="18"/>
              </w:rPr>
              <w:t>6.625% (6 5/8%) Fixed</w:t>
            </w:r>
          </w:p>
        </w:tc>
      </w:tr>
      <w:tr>
        <w:tc>
          <w:tcPr>
            <w:tcW w:type="dxa" w:w="4320"/>
          </w:tcPr>
          <w:p>
            <w:r>
              <w:rPr>
                <w:sz w:val="18"/>
              </w:rPr>
              <w:t>Maturity Date</w:t>
            </w:r>
          </w:p>
        </w:tc>
        <w:tc>
          <w:tcPr>
            <w:tcW w:type="dxa" w:w="4320"/>
          </w:tcPr>
          <w:p>
            <w:r>
              <w:rPr>
                <w:sz w:val="18"/>
              </w:rPr>
              <w:t>January 20, 2006</w:t>
            </w:r>
          </w:p>
        </w:tc>
      </w:tr>
      <w:tr>
        <w:tc>
          <w:tcPr>
            <w:tcW w:type="dxa" w:w="4320"/>
          </w:tcPr>
          <w:p>
            <w:r>
              <w:rPr>
                <w:sz w:val="18"/>
              </w:rPr>
              <w:t>Public Offering Price</w:t>
            </w:r>
          </w:p>
        </w:tc>
        <w:tc>
          <w:tcPr>
            <w:tcW w:type="dxa" w:w="4320"/>
          </w:tcPr>
          <w:p>
            <w:r>
              <w:rPr>
                <w:sz w:val="18"/>
              </w:rPr>
              <w:t>99.746% of par</w:t>
            </w:r>
          </w:p>
        </w:tc>
      </w:tr>
      <w:tr>
        <w:tc>
          <w:tcPr>
            <w:tcW w:type="dxa" w:w="4320"/>
          </w:tcPr>
          <w:p>
            <w:r>
              <w:rPr>
                <w:sz w:val="18"/>
              </w:rPr>
              <w:t>Public Offering Proceeds</w:t>
            </w:r>
          </w:p>
        </w:tc>
        <w:tc>
          <w:tcPr>
            <w:tcW w:type="dxa" w:w="4320"/>
          </w:tcPr>
          <w:p>
            <w:r>
              <w:rPr>
                <w:sz w:val="18"/>
              </w:rPr>
              <w:t>$349,111,000</w:t>
            </w:r>
          </w:p>
        </w:tc>
      </w:tr>
      <w:tr>
        <w:tc>
          <w:tcPr>
            <w:tcW w:type="dxa" w:w="4320"/>
          </w:tcPr>
          <w:p>
            <w:r>
              <w:rPr>
                <w:sz w:val="18"/>
              </w:rPr>
              <w:t>Underwriting Discount</w:t>
            </w:r>
          </w:p>
        </w:tc>
        <w:tc>
          <w:tcPr>
            <w:tcW w:type="dxa" w:w="4320"/>
          </w:tcPr>
          <w:p>
            <w:r>
              <w:rPr>
                <w:sz w:val="18"/>
              </w:rPr>
              <w:t>0.625% — $2,187,500</w:t>
            </w:r>
          </w:p>
        </w:tc>
      </w:tr>
      <w:tr>
        <w:tc>
          <w:tcPr>
            <w:tcW w:type="dxa" w:w="4320"/>
          </w:tcPr>
          <w:p>
            <w:r>
              <w:rPr>
                <w:sz w:val="18"/>
              </w:rPr>
              <w:t>Net Proceeds to USEC</w:t>
            </w:r>
          </w:p>
        </w:tc>
        <w:tc>
          <w:tcPr>
            <w:tcW w:type="dxa" w:w="4320"/>
          </w:tcPr>
          <w:p>
            <w:r>
              <w:rPr>
                <w:sz w:val="18"/>
              </w:rPr>
              <w:t>99.121% — $346,923,500</w:t>
            </w:r>
          </w:p>
        </w:tc>
      </w:tr>
      <w:tr>
        <w:tc>
          <w:tcPr>
            <w:tcW w:type="dxa" w:w="4320"/>
          </w:tcPr>
          <w:p>
            <w:r>
              <w:rPr>
                <w:sz w:val="18"/>
              </w:rPr>
              <w:t>Interest Payments</w:t>
            </w:r>
          </w:p>
        </w:tc>
        <w:tc>
          <w:tcPr>
            <w:tcW w:type="dxa" w:w="4320"/>
          </w:tcPr>
          <w:p>
            <w:r>
              <w:rPr>
                <w:sz w:val="18"/>
              </w:rPr>
              <w:t>Semi-annually: January 20 &amp; July 20 (first: July 20, 1999)</w:t>
            </w:r>
          </w:p>
        </w:tc>
      </w:tr>
    </w:tbl>
    <w:p/>
    <w:p>
      <w:pPr>
        <w:jc w:val="left"/>
      </w:pPr>
      <w:r>
        <w:rPr>
          <w:b/>
          <w:color w:val="0F3C5C"/>
          <w:sz w:val="20"/>
        </w:rPr>
        <w:t>Tranche B — 2009 Senior Notes ($150M @ 6.75%)</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rPr>
                <w:sz w:val="18"/>
              </w:rPr>
              <w:t>Principal Amount</w:t>
            </w:r>
          </w:p>
        </w:tc>
        <w:tc>
          <w:tcPr>
            <w:tcW w:type="dxa" w:w="4320"/>
          </w:tcPr>
          <w:p>
            <w:r>
              <w:rPr>
                <w:sz w:val="18"/>
              </w:rPr>
              <w:t>$150,000,000</w:t>
            </w:r>
          </w:p>
        </w:tc>
      </w:tr>
      <w:tr>
        <w:tc>
          <w:tcPr>
            <w:tcW w:type="dxa" w:w="4320"/>
          </w:tcPr>
          <w:p>
            <w:r>
              <w:rPr>
                <w:sz w:val="18"/>
              </w:rPr>
              <w:t>Coupon Rate</w:t>
            </w:r>
          </w:p>
        </w:tc>
        <w:tc>
          <w:tcPr>
            <w:tcW w:type="dxa" w:w="4320"/>
          </w:tcPr>
          <w:p>
            <w:r>
              <w:rPr>
                <w:sz w:val="18"/>
              </w:rPr>
              <w:t>6.750% (6 3/4%) Fixed</w:t>
            </w:r>
          </w:p>
        </w:tc>
      </w:tr>
      <w:tr>
        <w:tc>
          <w:tcPr>
            <w:tcW w:type="dxa" w:w="4320"/>
          </w:tcPr>
          <w:p>
            <w:r>
              <w:rPr>
                <w:sz w:val="18"/>
              </w:rPr>
              <w:t>Maturity Date</w:t>
            </w:r>
          </w:p>
        </w:tc>
        <w:tc>
          <w:tcPr>
            <w:tcW w:type="dxa" w:w="4320"/>
          </w:tcPr>
          <w:p>
            <w:r>
              <w:rPr>
                <w:sz w:val="18"/>
              </w:rPr>
              <w:t>January 20, 2009</w:t>
            </w:r>
          </w:p>
        </w:tc>
      </w:tr>
      <w:tr>
        <w:tc>
          <w:tcPr>
            <w:tcW w:type="dxa" w:w="4320"/>
          </w:tcPr>
          <w:p>
            <w:r>
              <w:rPr>
                <w:sz w:val="18"/>
              </w:rPr>
              <w:t>Public Offering Price</w:t>
            </w:r>
          </w:p>
        </w:tc>
        <w:tc>
          <w:tcPr>
            <w:tcW w:type="dxa" w:w="4320"/>
          </w:tcPr>
          <w:p>
            <w:r>
              <w:rPr>
                <w:sz w:val="18"/>
              </w:rPr>
              <w:t>99.527% of par</w:t>
            </w:r>
          </w:p>
        </w:tc>
      </w:tr>
      <w:tr>
        <w:tc>
          <w:tcPr>
            <w:tcW w:type="dxa" w:w="4320"/>
          </w:tcPr>
          <w:p>
            <w:r>
              <w:rPr>
                <w:sz w:val="18"/>
              </w:rPr>
              <w:t>Public Offering Proceeds</w:t>
            </w:r>
          </w:p>
        </w:tc>
        <w:tc>
          <w:tcPr>
            <w:tcW w:type="dxa" w:w="4320"/>
          </w:tcPr>
          <w:p>
            <w:r>
              <w:rPr>
                <w:sz w:val="18"/>
              </w:rPr>
              <w:t>$149,290,500</w:t>
            </w:r>
          </w:p>
        </w:tc>
      </w:tr>
      <w:tr>
        <w:tc>
          <w:tcPr>
            <w:tcW w:type="dxa" w:w="4320"/>
          </w:tcPr>
          <w:p>
            <w:r>
              <w:rPr>
                <w:sz w:val="18"/>
              </w:rPr>
              <w:t>Underwriting Discount</w:t>
            </w:r>
          </w:p>
        </w:tc>
        <w:tc>
          <w:tcPr>
            <w:tcW w:type="dxa" w:w="4320"/>
          </w:tcPr>
          <w:p>
            <w:r>
              <w:rPr>
                <w:sz w:val="18"/>
              </w:rPr>
              <w:t>0.650% — $975,000</w:t>
            </w:r>
          </w:p>
        </w:tc>
      </w:tr>
      <w:tr>
        <w:tc>
          <w:tcPr>
            <w:tcW w:type="dxa" w:w="4320"/>
          </w:tcPr>
          <w:p>
            <w:r>
              <w:rPr>
                <w:sz w:val="18"/>
              </w:rPr>
              <w:t>Net Proceeds to USEC</w:t>
            </w:r>
          </w:p>
        </w:tc>
        <w:tc>
          <w:tcPr>
            <w:tcW w:type="dxa" w:w="4320"/>
          </w:tcPr>
          <w:p>
            <w:r>
              <w:rPr>
                <w:sz w:val="18"/>
              </w:rPr>
              <w:t>98.877% — $148,315,500</w:t>
            </w:r>
          </w:p>
        </w:tc>
      </w:tr>
      <w:tr>
        <w:tc>
          <w:tcPr>
            <w:tcW w:type="dxa" w:w="4320"/>
          </w:tcPr>
          <w:p>
            <w:r>
              <w:rPr>
                <w:sz w:val="18"/>
              </w:rPr>
              <w:t>Interest Payments</w:t>
            </w:r>
          </w:p>
        </w:tc>
        <w:tc>
          <w:tcPr>
            <w:tcW w:type="dxa" w:w="4320"/>
          </w:tcPr>
          <w:p>
            <w:r>
              <w:rPr>
                <w:sz w:val="18"/>
              </w:rPr>
              <w:t>Semi-annually: January 20 &amp; July 20 (first: July 20, 1999)</w:t>
            </w:r>
          </w:p>
        </w:tc>
      </w:tr>
    </w:tbl>
    <w:p/>
    <w:p>
      <w:pPr>
        <w:jc w:val="left"/>
      </w:pPr>
      <w:r>
        <w:rPr>
          <w:b/>
          <w:color w:val="0F3C5C"/>
          <w:sz w:val="20"/>
        </w:rPr>
        <w:t>Aggregate Proceeds Summary</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Amount</w:t>
            </w:r>
          </w:p>
        </w:tc>
      </w:tr>
      <w:tr>
        <w:tc>
          <w:tcPr>
            <w:tcW w:type="dxa" w:w="4320"/>
          </w:tcPr>
          <w:p>
            <w:r>
              <w:rPr>
                <w:sz w:val="18"/>
              </w:rPr>
              <w:t>Total Face Value</w:t>
            </w:r>
          </w:p>
        </w:tc>
        <w:tc>
          <w:tcPr>
            <w:tcW w:type="dxa" w:w="4320"/>
          </w:tcPr>
          <w:p>
            <w:r>
              <w:rPr>
                <w:sz w:val="18"/>
              </w:rPr>
              <w:t>$500,000,000</w:t>
            </w:r>
          </w:p>
        </w:tc>
      </w:tr>
      <w:tr>
        <w:tc>
          <w:tcPr>
            <w:tcW w:type="dxa" w:w="4320"/>
          </w:tcPr>
          <w:p>
            <w:r>
              <w:rPr>
                <w:sz w:val="18"/>
              </w:rPr>
              <w:t>Total Public Offering Price</w:t>
            </w:r>
          </w:p>
        </w:tc>
        <w:tc>
          <w:tcPr>
            <w:tcW w:type="dxa" w:w="4320"/>
          </w:tcPr>
          <w:p>
            <w:r>
              <w:rPr>
                <w:sz w:val="18"/>
              </w:rPr>
              <w:t>$498,401,500</w:t>
            </w:r>
          </w:p>
        </w:tc>
      </w:tr>
      <w:tr>
        <w:tc>
          <w:tcPr>
            <w:tcW w:type="dxa" w:w="4320"/>
          </w:tcPr>
          <w:p>
            <w:r>
              <w:rPr>
                <w:sz w:val="18"/>
              </w:rPr>
              <w:t>Total Underwriting Discount</w:t>
            </w:r>
          </w:p>
        </w:tc>
        <w:tc>
          <w:tcPr>
            <w:tcW w:type="dxa" w:w="4320"/>
          </w:tcPr>
          <w:p>
            <w:r>
              <w:rPr>
                <w:sz w:val="18"/>
              </w:rPr>
              <w:t>-$3,162,500</w:t>
            </w:r>
          </w:p>
        </w:tc>
      </w:tr>
      <w:tr>
        <w:tc>
          <w:tcPr>
            <w:tcW w:type="dxa" w:w="4320"/>
          </w:tcPr>
          <w:p>
            <w:r>
              <w:rPr>
                <w:sz w:val="18"/>
              </w:rPr>
              <w:t>Net Proceeds to USEC (pre-expense)</w:t>
            </w:r>
          </w:p>
        </w:tc>
        <w:tc>
          <w:tcPr>
            <w:tcW w:type="dxa" w:w="4320"/>
          </w:tcPr>
          <w:p>
            <w:r>
              <w:rPr>
                <w:sz w:val="18"/>
              </w:rPr>
              <w:t>$495,239,000</w:t>
            </w:r>
          </w:p>
        </w:tc>
      </w:tr>
    </w:tbl>
    <w:p/>
    <w:p>
      <w:pPr>
        <w:jc w:val="left"/>
      </w:pPr>
      <w:r>
        <w:rPr>
          <w:b/>
          <w:color w:val="16213E"/>
          <w:sz w:val="24"/>
        </w:rPr>
        <w:t>PART III — UNDERWRITING SYNDICATE</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Institution</w:t>
            </w:r>
          </w:p>
        </w:tc>
      </w:tr>
      <w:tr>
        <w:tc>
          <w:tcPr>
            <w:tcW w:type="dxa" w:w="4320"/>
          </w:tcPr>
          <w:p>
            <w:r>
              <w:rPr>
                <w:sz w:val="18"/>
              </w:rPr>
              <w:t>Joint Bookrunner</w:t>
            </w:r>
          </w:p>
        </w:tc>
        <w:tc>
          <w:tcPr>
            <w:tcW w:type="dxa" w:w="4320"/>
          </w:tcPr>
          <w:p>
            <w:r>
              <w:rPr>
                <w:sz w:val="18"/>
              </w:rPr>
              <w:t>Merrill Lynch &amp; Co.</w:t>
            </w:r>
          </w:p>
        </w:tc>
      </w:tr>
      <w:tr>
        <w:tc>
          <w:tcPr>
            <w:tcW w:type="dxa" w:w="4320"/>
          </w:tcPr>
          <w:p>
            <w:r>
              <w:rPr>
                <w:sz w:val="18"/>
              </w:rPr>
              <w:t>Joint Bookrunner</w:t>
            </w:r>
          </w:p>
        </w:tc>
        <w:tc>
          <w:tcPr>
            <w:tcW w:type="dxa" w:w="4320"/>
          </w:tcPr>
          <w:p>
            <w:r>
              <w:rPr>
                <w:sz w:val="18"/>
              </w:rPr>
              <w:t>J.P. Morgan &amp; Co.</w:t>
            </w:r>
          </w:p>
        </w:tc>
      </w:tr>
      <w:tr>
        <w:tc>
          <w:tcPr>
            <w:tcW w:type="dxa" w:w="4320"/>
          </w:tcPr>
          <w:p>
            <w:r>
              <w:rPr>
                <w:sz w:val="18"/>
              </w:rPr>
              <w:t>Co-Manager</w:t>
            </w:r>
          </w:p>
        </w:tc>
        <w:tc>
          <w:tcPr>
            <w:tcW w:type="dxa" w:w="4320"/>
          </w:tcPr>
          <w:p>
            <w:r>
              <w:rPr>
                <w:sz w:val="18"/>
              </w:rPr>
              <w:t>Lehman Brothers</w:t>
            </w:r>
          </w:p>
        </w:tc>
      </w:tr>
      <w:tr>
        <w:tc>
          <w:tcPr>
            <w:tcW w:type="dxa" w:w="4320"/>
          </w:tcPr>
          <w:p>
            <w:r>
              <w:rPr>
                <w:sz w:val="18"/>
              </w:rPr>
              <w:t>Co-Manager</w:t>
            </w:r>
          </w:p>
        </w:tc>
        <w:tc>
          <w:tcPr>
            <w:tcW w:type="dxa" w:w="4320"/>
          </w:tcPr>
          <w:p>
            <w:r>
              <w:rPr>
                <w:sz w:val="18"/>
              </w:rPr>
              <w:t>NationsBanc Montgomery Securities LLC</w:t>
            </w:r>
          </w:p>
        </w:tc>
      </w:tr>
      <w:tr>
        <w:tc>
          <w:tcPr>
            <w:tcW w:type="dxa" w:w="4320"/>
          </w:tcPr>
          <w:p>
            <w:r>
              <w:rPr>
                <w:sz w:val="18"/>
              </w:rPr>
              <w:t>Co-Manager</w:t>
            </w:r>
          </w:p>
        </w:tc>
        <w:tc>
          <w:tcPr>
            <w:tcW w:type="dxa" w:w="4320"/>
          </w:tcPr>
          <w:p>
            <w:r>
              <w:rPr>
                <w:sz w:val="18"/>
              </w:rPr>
              <w:t>Blaylock &amp; Partners, L.P.</w:t>
            </w:r>
          </w:p>
        </w:tc>
      </w:tr>
    </w:tbl>
    <w:p>
      <w:pPr>
        <w:ind w:left="432"/>
      </w:pPr>
      <w:r>
        <w:rPr>
          <w:b w:val="0"/>
          <w:sz w:val="20"/>
        </w:rPr>
        <w:t>Note: Syndicate members are parties in interest. DTC book-entry records constitute the authoritative noteholder register for claims administration.</w:t>
      </w:r>
    </w:p>
    <w:p/>
    <w:p>
      <w:pPr>
        <w:jc w:val="left"/>
      </w:pPr>
      <w:r>
        <w:rPr>
          <w:b/>
          <w:color w:val="16213E"/>
          <w:sz w:val="24"/>
        </w:rPr>
        <w:t>PART IV — CAPITAL STRUCTURE &amp; BANKRUPTCY WATERFALL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Instrument</w:t>
            </w:r>
          </w:p>
        </w:tc>
        <w:tc>
          <w:tcPr>
            <w:tcW w:type="dxa" w:w="2160"/>
          </w:tcPr>
          <w:p>
            <w:r>
              <w:t>Amount</w:t>
            </w:r>
          </w:p>
        </w:tc>
        <w:tc>
          <w:tcPr>
            <w:tcW w:type="dxa" w:w="2160"/>
          </w:tcPr>
          <w:p>
            <w:r>
              <w:t>Status</w:t>
            </w:r>
          </w:p>
        </w:tc>
      </w:tr>
      <w:tr>
        <w:tc>
          <w:tcPr>
            <w:tcW w:type="dxa" w:w="2160"/>
          </w:tcPr>
          <w:p>
            <w:r>
              <w:rPr>
                <w:sz w:val="18"/>
              </w:rPr>
              <w:t>Tier 1 — Senior Secured</w:t>
            </w:r>
          </w:p>
        </w:tc>
        <w:tc>
          <w:tcPr>
            <w:tcW w:type="dxa" w:w="2160"/>
          </w:tcPr>
          <w:p>
            <w:r>
              <w:rPr>
                <w:sz w:val="18"/>
              </w:rPr>
              <w:t>Secured Debt (if any)</w:t>
            </w:r>
          </w:p>
        </w:tc>
        <w:tc>
          <w:tcPr>
            <w:tcW w:type="dxa" w:w="2160"/>
          </w:tcPr>
          <w:p>
            <w:r>
              <w:rPr>
                <w:sz w:val="18"/>
              </w:rPr>
              <w:t>TBD</w:t>
            </w:r>
          </w:p>
        </w:tc>
        <w:tc>
          <w:tcPr>
            <w:tcW w:type="dxa" w:w="2160"/>
          </w:tcPr>
          <w:p>
            <w:r>
              <w:rPr>
                <w:sz w:val="18"/>
              </w:rPr>
              <w:t>First lien — superpriority</w:t>
            </w:r>
          </w:p>
        </w:tc>
      </w:tr>
      <w:tr>
        <w:tc>
          <w:tcPr>
            <w:tcW w:type="dxa" w:w="2160"/>
          </w:tcPr>
          <w:p>
            <w:r>
              <w:rPr>
                <w:sz w:val="18"/>
              </w:rPr>
              <w:t>Tier 2 — Senior Unsecured</w:t>
            </w:r>
          </w:p>
        </w:tc>
        <w:tc>
          <w:tcPr>
            <w:tcW w:type="dxa" w:w="2160"/>
          </w:tcPr>
          <w:p>
            <w:r>
              <w:rPr>
                <w:sz w:val="18"/>
              </w:rPr>
              <w:t>USEC $500M Senior Notes</w:t>
            </w:r>
          </w:p>
        </w:tc>
        <w:tc>
          <w:tcPr>
            <w:tcW w:type="dxa" w:w="2160"/>
          </w:tcPr>
          <w:p>
            <w:r>
              <w:rPr>
                <w:sz w:val="18"/>
              </w:rPr>
              <w:t>$500,000,000</w:t>
            </w:r>
          </w:p>
        </w:tc>
        <w:tc>
          <w:tcPr>
            <w:tcW w:type="dxa" w:w="2160"/>
          </w:tcPr>
          <w:p>
            <w:r>
              <w:rPr>
                <w:sz w:val="18"/>
              </w:rPr>
              <w:t>Pari passu unsecured</w:t>
            </w:r>
          </w:p>
        </w:tc>
      </w:tr>
      <w:tr>
        <w:tc>
          <w:tcPr>
            <w:tcW w:type="dxa" w:w="2160"/>
          </w:tcPr>
          <w:p>
            <w:r>
              <w:rPr>
                <w:sz w:val="18"/>
              </w:rPr>
              <w:t>Tier 2 — Senior Unsecured</w:t>
            </w:r>
          </w:p>
        </w:tc>
        <w:tc>
          <w:tcPr>
            <w:tcW w:type="dxa" w:w="2160"/>
          </w:tcPr>
          <w:p>
            <w:r>
              <w:rPr>
                <w:sz w:val="18"/>
              </w:rPr>
              <w:t>Existing Unsecured Debt (as of Sept 30, 1998)</w:t>
            </w:r>
          </w:p>
        </w:tc>
        <w:tc>
          <w:tcPr>
            <w:tcW w:type="dxa" w:w="2160"/>
          </w:tcPr>
          <w:p>
            <w:r>
              <w:rPr>
                <w:sz w:val="18"/>
              </w:rPr>
              <w:t>$70,800,000</w:t>
            </w:r>
          </w:p>
        </w:tc>
        <w:tc>
          <w:tcPr>
            <w:tcW w:type="dxa" w:w="2160"/>
          </w:tcPr>
          <w:p>
            <w:r>
              <w:rPr>
                <w:sz w:val="18"/>
              </w:rPr>
              <w:t>Equal ranking with notes</w:t>
            </w:r>
          </w:p>
        </w:tc>
      </w:tr>
      <w:tr>
        <w:tc>
          <w:tcPr>
            <w:tcW w:type="dxa" w:w="2160"/>
          </w:tcPr>
          <w:p>
            <w:r>
              <w:rPr>
                <w:sz w:val="18"/>
              </w:rPr>
              <w:t>Tier 3 — Equity</w:t>
            </w:r>
          </w:p>
        </w:tc>
        <w:tc>
          <w:tcPr>
            <w:tcW w:type="dxa" w:w="2160"/>
          </w:tcPr>
          <w:p>
            <w:r>
              <w:rPr>
                <w:sz w:val="18"/>
              </w:rPr>
              <w:t>Common Stock (NYSE: USU)</w:t>
            </w:r>
          </w:p>
        </w:tc>
        <w:tc>
          <w:tcPr>
            <w:tcW w:type="dxa" w:w="2160"/>
          </w:tcPr>
          <w:p>
            <w:r>
              <w:rPr>
                <w:sz w:val="18"/>
              </w:rPr>
              <w:t>Residual</w:t>
            </w:r>
          </w:p>
        </w:tc>
        <w:tc>
          <w:tcPr>
            <w:tcW w:type="dxa" w:w="2160"/>
          </w:tcPr>
          <w:p>
            <w:r>
              <w:rPr>
                <w:sz w:val="18"/>
              </w:rPr>
              <w:t>Subordinate to all debt</w:t>
            </w:r>
          </w:p>
        </w:tc>
      </w:tr>
    </w:tbl>
    <w:p/>
    <w:p>
      <w:pPr>
        <w:jc w:val="left"/>
      </w:pPr>
      <w:r>
        <w:rPr>
          <w:b/>
          <w:color w:val="0F3C5C"/>
          <w:sz w:val="20"/>
        </w:rPr>
        <w:t>Critical Risk: Uncapped Indebtedness Covenant</w:t>
      </w:r>
    </w:p>
    <w:p>
      <w:r>
        <w:rPr>
          <w:b w:val="0"/>
          <w:sz w:val="20"/>
        </w:rPr>
        <w:t>The governing indenture contains NO debt incurrence restriction. USEC and its subsidiaries may issue an unlimited amount of additional pari passu indebtedness. The Trustee and UCC must audit all such debt incurred pre-petition, as it directly dilutes noteholder recovery on a pro-rata basis.</w:t>
      </w:r>
    </w:p>
    <w:p/>
    <w:p>
      <w:pPr>
        <w:jc w:val="left"/>
      </w:pPr>
      <w:r>
        <w:rPr>
          <w:b/>
          <w:color w:val="16213E"/>
          <w:sz w:val="24"/>
        </w:rPr>
        <w:t>PART V — EARLY REDEMPTION MECHANICS &amp; ESTATE IMPLICATIONS</w:t>
      </w:r>
    </w:p>
    <w:p>
      <w:r>
        <w:rPr>
          <w:b/>
          <w:sz w:val="20"/>
        </w:rPr>
        <w:t>Redemption Price Formula:</w:t>
      </w:r>
    </w:p>
    <w:p>
      <w:pPr>
        <w:ind w:left="432"/>
      </w:pPr>
      <w:r>
        <w:rPr>
          <w:b w:val="0"/>
          <w:sz w:val="20"/>
        </w:rPr>
        <w:t>Redemption Price = Principal Amount + Accrued Interest (to but excluding redemption date) + Make-Whole Premium (if any)</w:t>
      </w:r>
    </w:p>
    <w:p/>
    <w:p>
      <w:r>
        <w:rPr>
          <w:b/>
          <w:sz w:val="20"/>
        </w:rPr>
        <w:t>Post-Petition Treatment:</w:t>
      </w:r>
    </w:p>
    <w:p>
      <w:pPr>
        <w:pStyle w:val="ListBullet"/>
      </w:pPr>
      <w:r>
        <w:rPr>
          <w:sz w:val="20"/>
        </w:rPr>
        <w:t>Automatic Stay (11 U.S.C. § 362): All coupon payments and redemption obligations are immediately stayed upon filing.</w:t>
      </w:r>
    </w:p>
    <w:p>
      <w:pPr>
        <w:pStyle w:val="ListBullet"/>
      </w:pPr>
      <w:r>
        <w:rPr>
          <w:sz w:val="20"/>
        </w:rPr>
        <w:t>Post-Petition Interest: Unsecured creditors are generally not entitled to post-petition interest unless the estate is solvent (§ 502(b)(2)).</w:t>
      </w:r>
    </w:p>
    <w:p>
      <w:pPr>
        <w:pStyle w:val="ListBullet"/>
      </w:pPr>
      <w:r>
        <w:rPr>
          <w:sz w:val="20"/>
        </w:rPr>
        <w:t>Make-Whole Claim Dispute: Courts are split (see In re Energy Future Holdings; In re Ultra Petroleum). The UCC or Debtor may challenge the Make-Whole as an unmatured interest or unenforceable penalty.</w:t>
      </w:r>
    </w:p>
    <w:p>
      <w:pPr>
        <w:pStyle w:val="ListBullet"/>
      </w:pPr>
      <w:r>
        <w:rPr>
          <w:sz w:val="20"/>
        </w:rPr>
        <w:t>Acceleration: Outstanding principal is typically accelerated to immediately due upon filing under cross-default provisions.</w:t>
      </w:r>
    </w:p>
    <w:p/>
    <w:p>
      <w:pPr>
        <w:jc w:val="left"/>
      </w:pPr>
      <w:r>
        <w:rPr>
          <w:b/>
          <w:color w:val="16213E"/>
          <w:sz w:val="24"/>
        </w:rPr>
        <w:t>PART VI — CLAIMS ADMINISTRATION FRAMEWORK</w:t>
      </w:r>
    </w:p>
    <w:tbl>
      <w:tblPr>
        <w:tblStyle w:val="TableGrid"/>
        <w:tblW w:type="auto" w:w="0"/>
        <w:tblLook w:firstColumn="1" w:firstRow="1" w:lastColumn="0" w:lastRow="0" w:noHBand="0" w:noVBand="1" w:val="04A0"/>
      </w:tblPr>
      <w:tblGrid>
        <w:gridCol w:w="4320"/>
        <w:gridCol w:w="4320"/>
      </w:tblGrid>
      <w:tr>
        <w:tc>
          <w:tcPr>
            <w:tcW w:type="dxa" w:w="4320"/>
          </w:tcPr>
          <w:p>
            <w:r>
              <w:t>Claim Component</w:t>
            </w:r>
          </w:p>
        </w:tc>
        <w:tc>
          <w:tcPr>
            <w:tcW w:type="dxa" w:w="4320"/>
          </w:tcPr>
          <w:p>
            <w:r>
              <w:t>Amount</w:t>
            </w:r>
          </w:p>
        </w:tc>
      </w:tr>
      <w:tr>
        <w:tc>
          <w:tcPr>
            <w:tcW w:type="dxa" w:w="4320"/>
          </w:tcPr>
          <w:p>
            <w:r>
              <w:rPr>
                <w:sz w:val="18"/>
              </w:rPr>
              <w:t>Tranche A Principal (2006 Notes)</w:t>
            </w:r>
          </w:p>
        </w:tc>
        <w:tc>
          <w:tcPr>
            <w:tcW w:type="dxa" w:w="4320"/>
          </w:tcPr>
          <w:p>
            <w:r>
              <w:rPr>
                <w:sz w:val="18"/>
              </w:rPr>
              <w:t>$350,000,000</w:t>
            </w:r>
          </w:p>
        </w:tc>
      </w:tr>
      <w:tr>
        <w:tc>
          <w:tcPr>
            <w:tcW w:type="dxa" w:w="4320"/>
          </w:tcPr>
          <w:p>
            <w:r>
              <w:rPr>
                <w:sz w:val="18"/>
              </w:rPr>
              <w:t>Tranche B Principal (2009 Notes)</w:t>
            </w:r>
          </w:p>
        </w:tc>
        <w:tc>
          <w:tcPr>
            <w:tcW w:type="dxa" w:w="4320"/>
          </w:tcPr>
          <w:p>
            <w:r>
              <w:rPr>
                <w:sz w:val="18"/>
              </w:rPr>
              <w:t>$150,000,000</w:t>
            </w:r>
          </w:p>
        </w:tc>
      </w:tr>
      <w:tr>
        <w:tc>
          <w:tcPr>
            <w:tcW w:type="dxa" w:w="4320"/>
          </w:tcPr>
          <w:p>
            <w:r>
              <w:rPr>
                <w:sz w:val="18"/>
              </w:rPr>
              <w:t>Accrued Pre-Petition Interest</w:t>
            </w:r>
          </w:p>
        </w:tc>
        <w:tc>
          <w:tcPr>
            <w:tcW w:type="dxa" w:w="4320"/>
          </w:tcPr>
          <w:p>
            <w:r>
              <w:rPr>
                <w:sz w:val="18"/>
              </w:rPr>
              <w:t>To be calculated at petition date</w:t>
            </w:r>
          </w:p>
        </w:tc>
      </w:tr>
      <w:tr>
        <w:tc>
          <w:tcPr>
            <w:tcW w:type="dxa" w:w="4320"/>
          </w:tcPr>
          <w:p>
            <w:r>
              <w:rPr>
                <w:sz w:val="18"/>
              </w:rPr>
              <w:t>Make-Whole Premium</w:t>
            </w:r>
          </w:p>
        </w:tc>
        <w:tc>
          <w:tcPr>
            <w:tcW w:type="dxa" w:w="4320"/>
          </w:tcPr>
          <w:p>
            <w:r>
              <w:rPr>
                <w:sz w:val="18"/>
              </w:rPr>
              <w:t>Subject to adversary proceeding — disputed</w:t>
            </w:r>
          </w:p>
        </w:tc>
      </w:tr>
      <w:tr>
        <w:tc>
          <w:tcPr>
            <w:tcW w:type="dxa" w:w="4320"/>
          </w:tcPr>
          <w:p>
            <w:r>
              <w:rPr>
                <w:sz w:val="18"/>
              </w:rPr>
              <w:t>TOTAL SCHEDULED CLAIM (Principal)</w:t>
            </w:r>
          </w:p>
        </w:tc>
        <w:tc>
          <w:tcPr>
            <w:tcW w:type="dxa" w:w="4320"/>
          </w:tcPr>
          <w:p>
            <w:r>
              <w:rPr>
                <w:sz w:val="18"/>
              </w:rPr>
              <w:t>$500,000,000</w:t>
            </w:r>
          </w:p>
        </w:tc>
      </w:tr>
    </w:tbl>
    <w:p/>
    <w:p>
      <w:r>
        <w:rPr>
          <w:b w:val="0"/>
          <w:sz w:val="20"/>
        </w:rPr>
        <w:t>All holders must file proofs of claim through DTC/Cede &amp; Co. via broker-dealers (street name holders) or directly (registered holders) by the Bar Date. The Indenture Trustee may file a master proof of claim on behalf of all noteholders (FRBP 3003(b)(1)).</w:t>
      </w:r>
    </w:p>
    <w:p/>
    <w:p>
      <w:pPr>
        <w:jc w:val="left"/>
      </w:pPr>
      <w:r>
        <w:rPr>
          <w:b/>
          <w:color w:val="16213E"/>
          <w:sz w:val="24"/>
        </w:rPr>
        <w:t>PART VII — ASSET VALUATION FOR PLAN PURPOSES</w:t>
      </w:r>
    </w:p>
    <w:tbl>
      <w:tblPr>
        <w:tblStyle w:val="TableGrid"/>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Recovery Assumption</w:t>
            </w:r>
          </w:p>
        </w:tc>
        <w:tc>
          <w:tcPr>
            <w:tcW w:type="dxa" w:w="2880"/>
          </w:tcPr>
          <w:p>
            <w:r>
              <w:t>Noteholder Outcome</w:t>
            </w:r>
          </w:p>
        </w:tc>
      </w:tr>
      <w:tr>
        <w:tc>
          <w:tcPr>
            <w:tcW w:type="dxa" w:w="2880"/>
          </w:tcPr>
          <w:p>
            <w:r>
              <w:rPr>
                <w:sz w:val="18"/>
              </w:rPr>
              <w:t>Full Reorganization</w:t>
            </w:r>
          </w:p>
        </w:tc>
        <w:tc>
          <w:tcPr>
            <w:tcW w:type="dxa" w:w="2880"/>
          </w:tcPr>
          <w:p>
            <w:r>
              <w:rPr>
                <w:sz w:val="18"/>
              </w:rPr>
              <w:t>Enterprise value &gt; $570M unsecured pool</w:t>
            </w:r>
          </w:p>
        </w:tc>
        <w:tc>
          <w:tcPr>
            <w:tcW w:type="dxa" w:w="2880"/>
          </w:tcPr>
          <w:p>
            <w:r>
              <w:rPr>
                <w:sz w:val="18"/>
              </w:rPr>
              <w:t>Pro-rata recovery toward par</w:t>
            </w:r>
          </w:p>
        </w:tc>
      </w:tr>
      <w:tr>
        <w:tc>
          <w:tcPr>
            <w:tcW w:type="dxa" w:w="2880"/>
          </w:tcPr>
          <w:p>
            <w:r>
              <w:rPr>
                <w:sz w:val="18"/>
              </w:rPr>
              <w:t>Partial Recovery</w:t>
            </w:r>
          </w:p>
        </w:tc>
        <w:tc>
          <w:tcPr>
            <w:tcW w:type="dxa" w:w="2880"/>
          </w:tcPr>
          <w:p>
            <w:r>
              <w:rPr>
                <w:sz w:val="18"/>
              </w:rPr>
              <w:t>Enterprise value covers pool partially</w:t>
            </w:r>
          </w:p>
        </w:tc>
        <w:tc>
          <w:tcPr>
            <w:tcW w:type="dxa" w:w="2880"/>
          </w:tcPr>
          <w:p>
            <w:r>
              <w:rPr>
                <w:sz w:val="18"/>
              </w:rPr>
              <w:t>Pro-rata cents-on-dollar recovery</w:t>
            </w:r>
          </w:p>
        </w:tc>
      </w:tr>
      <w:tr>
        <w:tc>
          <w:tcPr>
            <w:tcW w:type="dxa" w:w="2880"/>
          </w:tcPr>
          <w:p>
            <w:r>
              <w:rPr>
                <w:sz w:val="18"/>
              </w:rPr>
              <w:t>Liquidation (§ 1129(a)(7))</w:t>
            </w:r>
          </w:p>
        </w:tc>
        <w:tc>
          <w:tcPr>
            <w:tcW w:type="dxa" w:w="2880"/>
          </w:tcPr>
          <w:p>
            <w:r>
              <w:rPr>
                <w:sz w:val="18"/>
              </w:rPr>
              <w:t>Liquidation value of assets</w:t>
            </w:r>
          </w:p>
        </w:tc>
        <w:tc>
          <w:tcPr>
            <w:tcW w:type="dxa" w:w="2880"/>
          </w:tcPr>
          <w:p>
            <w:r>
              <w:rPr>
                <w:sz w:val="18"/>
              </w:rPr>
              <w:t>Floor recovery — must exceed Chapter 7</w:t>
            </w:r>
          </w:p>
        </w:tc>
      </w:tr>
      <w:tr>
        <w:tc>
          <w:tcPr>
            <w:tcW w:type="dxa" w:w="2880"/>
          </w:tcPr>
          <w:p>
            <w:r>
              <w:rPr>
                <w:sz w:val="18"/>
              </w:rPr>
              <w:t>Debt-for-Equity</w:t>
            </w:r>
          </w:p>
        </w:tc>
        <w:tc>
          <w:tcPr>
            <w:tcW w:type="dxa" w:w="2880"/>
          </w:tcPr>
          <w:p>
            <w:r>
              <w:rPr>
                <w:sz w:val="18"/>
              </w:rPr>
              <w:t>Notes converted to reorganized equity</w:t>
            </w:r>
          </w:p>
        </w:tc>
        <w:tc>
          <w:tcPr>
            <w:tcW w:type="dxa" w:w="2880"/>
          </w:tcPr>
          <w:p>
            <w:r>
              <w:rPr>
                <w:sz w:val="18"/>
              </w:rPr>
              <w:t>New common stock in reorganized entity</w:t>
            </w:r>
          </w:p>
        </w:tc>
      </w:tr>
    </w:tbl>
    <w:p/>
    <w:p>
      <w:pPr>
        <w:jc w:val="left"/>
      </w:pPr>
      <w:r>
        <w:rPr>
          <w:b/>
          <w:color w:val="16213E"/>
          <w:sz w:val="24"/>
        </w:rPr>
        <w:t>PART VIII — LEGAL AUTHORITIES &amp; STATUTORY BASIS</w:t>
      </w:r>
    </w:p>
    <w:tbl>
      <w:tblPr>
        <w:tblStyle w:val="TableGrid"/>
        <w:tblW w:type="auto" w:w="0"/>
        <w:tblLook w:firstColumn="1" w:firstRow="1" w:lastColumn="0" w:lastRow="0" w:noHBand="0" w:noVBand="1" w:val="04A0"/>
      </w:tblPr>
      <w:tblGrid>
        <w:gridCol w:w="4320"/>
        <w:gridCol w:w="4320"/>
      </w:tblGrid>
      <w:tr>
        <w:tc>
          <w:tcPr>
            <w:tcW w:type="dxa" w:w="4320"/>
          </w:tcPr>
          <w:p>
            <w:r>
              <w:t>Statute / Rule</w:t>
            </w:r>
          </w:p>
        </w:tc>
        <w:tc>
          <w:tcPr>
            <w:tcW w:type="dxa" w:w="4320"/>
          </w:tcPr>
          <w:p>
            <w:r>
              <w:t>Application</w:t>
            </w:r>
          </w:p>
        </w:tc>
      </w:tr>
      <w:tr>
        <w:tc>
          <w:tcPr>
            <w:tcW w:type="dxa" w:w="4320"/>
          </w:tcPr>
          <w:p>
            <w:r>
              <w:rPr>
                <w:sz w:val="18"/>
              </w:rPr>
              <w:t>11 U.S.C. § 101(5)</w:t>
            </w:r>
          </w:p>
        </w:tc>
        <w:tc>
          <w:tcPr>
            <w:tcW w:type="dxa" w:w="4320"/>
          </w:tcPr>
          <w:p>
            <w:r>
              <w:rPr>
                <w:sz w:val="18"/>
              </w:rPr>
              <w:t>Definition of 'claim' — includes right to payment on the Senior Notes</w:t>
            </w:r>
          </w:p>
        </w:tc>
      </w:tr>
      <w:tr>
        <w:tc>
          <w:tcPr>
            <w:tcW w:type="dxa" w:w="4320"/>
          </w:tcPr>
          <w:p>
            <w:r>
              <w:rPr>
                <w:sz w:val="18"/>
              </w:rPr>
              <w:t>11 U.S.C. § 362</w:t>
            </w:r>
          </w:p>
        </w:tc>
        <w:tc>
          <w:tcPr>
            <w:tcW w:type="dxa" w:w="4320"/>
          </w:tcPr>
          <w:p>
            <w:r>
              <w:rPr>
                <w:sz w:val="18"/>
              </w:rPr>
              <w:t>Automatic stay — suspends all payment obligations upon filing</w:t>
            </w:r>
          </w:p>
        </w:tc>
      </w:tr>
      <w:tr>
        <w:tc>
          <w:tcPr>
            <w:tcW w:type="dxa" w:w="4320"/>
          </w:tcPr>
          <w:p>
            <w:r>
              <w:rPr>
                <w:sz w:val="18"/>
              </w:rPr>
              <w:t>11 U.S.C. § 502</w:t>
            </w:r>
          </w:p>
        </w:tc>
        <w:tc>
          <w:tcPr>
            <w:tcW w:type="dxa" w:w="4320"/>
          </w:tcPr>
          <w:p>
            <w:r>
              <w:rPr>
                <w:sz w:val="18"/>
              </w:rPr>
              <w:t>Allowance and disallowance of claims — governs Make-Whole dispute</w:t>
            </w:r>
          </w:p>
        </w:tc>
      </w:tr>
      <w:tr>
        <w:tc>
          <w:tcPr>
            <w:tcW w:type="dxa" w:w="4320"/>
          </w:tcPr>
          <w:p>
            <w:r>
              <w:rPr>
                <w:sz w:val="18"/>
              </w:rPr>
              <w:t>11 U.S.C. § 541</w:t>
            </w:r>
          </w:p>
        </w:tc>
        <w:tc>
          <w:tcPr>
            <w:tcW w:type="dxa" w:w="4320"/>
          </w:tcPr>
          <w:p>
            <w:r>
              <w:rPr>
                <w:sz w:val="18"/>
              </w:rPr>
              <w:t>Property of the estate — these notes as obligations of the estate</w:t>
            </w:r>
          </w:p>
        </w:tc>
      </w:tr>
      <w:tr>
        <w:tc>
          <w:tcPr>
            <w:tcW w:type="dxa" w:w="4320"/>
          </w:tcPr>
          <w:p>
            <w:r>
              <w:rPr>
                <w:sz w:val="18"/>
              </w:rPr>
              <w:t>11 U.S.C. §§ 726 / 1129</w:t>
            </w:r>
          </w:p>
        </w:tc>
        <w:tc>
          <w:tcPr>
            <w:tcW w:type="dxa" w:w="4320"/>
          </w:tcPr>
          <w:p>
            <w:r>
              <w:rPr>
                <w:sz w:val="18"/>
              </w:rPr>
              <w:t>Distribution waterfall and plan confirmation standards</w:t>
            </w:r>
          </w:p>
        </w:tc>
      </w:tr>
      <w:tr>
        <w:tc>
          <w:tcPr>
            <w:tcW w:type="dxa" w:w="4320"/>
          </w:tcPr>
          <w:p>
            <w:r>
              <w:rPr>
                <w:sz w:val="18"/>
              </w:rPr>
              <w:t>11 U.S.C. § 1125</w:t>
            </w:r>
          </w:p>
        </w:tc>
        <w:tc>
          <w:tcPr>
            <w:tcW w:type="dxa" w:w="4320"/>
          </w:tcPr>
          <w:p>
            <w:r>
              <w:rPr>
                <w:sz w:val="18"/>
              </w:rPr>
              <w:t>Disclosure statement — adequate information for noteholder class</w:t>
            </w:r>
          </w:p>
        </w:tc>
      </w:tr>
      <w:tr>
        <w:tc>
          <w:tcPr>
            <w:tcW w:type="dxa" w:w="4320"/>
          </w:tcPr>
          <w:p>
            <w:r>
              <w:rPr>
                <w:sz w:val="18"/>
              </w:rPr>
              <w:t>FRBP 3003</w:t>
            </w:r>
          </w:p>
        </w:tc>
        <w:tc>
          <w:tcPr>
            <w:tcW w:type="dxa" w:w="4320"/>
          </w:tcPr>
          <w:p>
            <w:r>
              <w:rPr>
                <w:sz w:val="18"/>
              </w:rPr>
              <w:t>Filing proofs of claim in Chapter 11 cases</w:t>
            </w:r>
          </w:p>
        </w:tc>
      </w:tr>
      <w:tr>
        <w:tc>
          <w:tcPr>
            <w:tcW w:type="dxa" w:w="4320"/>
          </w:tcPr>
          <w:p>
            <w:r>
              <w:rPr>
                <w:sz w:val="18"/>
              </w:rPr>
              <w:t>FRBP 1007</w:t>
            </w:r>
          </w:p>
        </w:tc>
        <w:tc>
          <w:tcPr>
            <w:tcW w:type="dxa" w:w="4320"/>
          </w:tcPr>
          <w:p>
            <w:r>
              <w:rPr>
                <w:sz w:val="18"/>
              </w:rPr>
              <w:t>Schedules of assets and liabilities — debtor's duty to schedule this obligation</w:t>
            </w:r>
          </w:p>
        </w:tc>
      </w:tr>
      <w:tr>
        <w:tc>
          <w:tcPr>
            <w:tcW w:type="dxa" w:w="4320"/>
          </w:tcPr>
          <w:p>
            <w:r>
              <w:rPr>
                <w:sz w:val="18"/>
              </w:rPr>
              <w:t>UCC Article 8</w:t>
            </w:r>
          </w:p>
        </w:tc>
        <w:tc>
          <w:tcPr>
            <w:tcW w:type="dxa" w:w="4320"/>
          </w:tcPr>
          <w:p>
            <w:r>
              <w:rPr>
                <w:sz w:val="18"/>
              </w:rPr>
              <w:t>Securities held in book-entry — DTC/Cede &amp; Co. as nominee holder</w:t>
            </w:r>
          </w:p>
        </w:tc>
      </w:tr>
    </w:tbl>
    <w:p/>
    <w:p>
      <w:pPr>
        <w:jc w:val="left"/>
      </w:pPr>
      <w:r>
        <w:rPr>
          <w:b/>
          <w:color w:val="16213E"/>
          <w:sz w:val="24"/>
        </w:rPr>
        <w:t>PART IX — STRATEGIC RECOMMENDATIONS FOR ESTATE ADMINISTRATION</w:t>
      </w:r>
    </w:p>
    <w:p>
      <w:r>
        <w:rPr>
          <w:sz w:val="20"/>
        </w:rPr>
        <w:t>1. Engage Indenture Trustee Immediately: Notify the Indenture Trustee of the filing. Trustee must be a party in interest in all plan negotiations.</w:t>
      </w:r>
    </w:p>
    <w:p>
      <w:r>
        <w:rPr>
          <w:sz w:val="20"/>
        </w:rPr>
        <w:t>2. DTC Holder List: Obtain CUSIP-level holder records from DTC for both tranches to drive claims pool and voting tabulation.</w:t>
      </w:r>
    </w:p>
    <w:p>
      <w:r>
        <w:rPr>
          <w:sz w:val="20"/>
        </w:rPr>
        <w:t>3. UCC Formation: The $500M unsecured noteholder class is the dominant unsecured constituency. Expect formation of an Unsecured Creditors' Committee led by major institutional holders.</w:t>
      </w:r>
    </w:p>
    <w:p>
      <w:r>
        <w:rPr>
          <w:sz w:val="20"/>
        </w:rPr>
        <w:t>4. Make-Whole Litigation Reserve: Segregate funds or reserve plan capacity for the Make-Whole Premium dispute. Outcome materially affects total unsecured claims pool.</w:t>
      </w:r>
    </w:p>
    <w:p>
      <w:r>
        <w:rPr>
          <w:sz w:val="20"/>
        </w:rPr>
        <w:t>5. Pari Passu Audit: Identify all additional indebtedness issued under the indenture's uncapped covenant pre-petition. Any such debt joins the pool and dilutes noteholder recovery.</w:t>
      </w:r>
    </w:p>
    <w:p>
      <w:r>
        <w:rPr>
          <w:sz w:val="20"/>
        </w:rPr>
        <w:t>6. Plan Class Structure: The $500M Senior Notes and $70.8M existing pari passu debt should form a single unsecured class under § 1122 absent valid grounds for separate classification.</w:t>
      </w:r>
    </w:p>
    <w:p>
      <w:r>
        <w:rPr>
          <w:sz w:val="20"/>
        </w:rPr>
        <w:t>7. Exit Financing: Assess whether reorganized entity can service debt or whether debt-for-equity conversion is the most feasible exit structure.</w:t>
      </w:r>
    </w:p>
    <w:p/>
    <w:p>
      <w:pPr>
        <w:jc w:val="left"/>
      </w:pPr>
      <w:r>
        <w:rPr>
          <w:b/>
          <w:color w:val="16213E"/>
          <w:sz w:val="24"/>
        </w:rPr>
        <w:t>CERTIFICATION</w:t>
      </w:r>
    </w:p>
    <w:p>
      <w:r>
        <w:rPr>
          <w:b w:val="0"/>
          <w:sz w:val="20"/>
        </w:rPr>
        <w:t>The undersigned, duly authorized representative of USEC Inc. as Debtor-in-Possession, hereby declares under penalty of perjury that the information contained in this Asset Declaration is true and correct to the best of the Debtor's knowledge, information, and belief.</w:t>
      </w:r>
    </w:p>
    <w:p/>
    <w:p>
      <w:r>
        <w:rPr>
          <w:b w:val="0"/>
          <w:sz w:val="20"/>
        </w:rPr>
        <w:t>Debtor: USEC Inc.</w:t>
      </w:r>
    </w:p>
    <w:p>
      <w:r>
        <w:rPr>
          <w:b w:val="0"/>
          <w:sz w:val="20"/>
        </w:rPr>
        <w:t>By: ___________________________</w:t>
      </w:r>
    </w:p>
    <w:p>
      <w:r>
        <w:rPr>
          <w:b w:val="0"/>
          <w:sz w:val="20"/>
        </w:rPr>
        <w:t>Title: Chief Restructuring Officer / Authorized Signatory</w:t>
      </w:r>
    </w:p>
    <w:p>
      <w:r>
        <w:rPr>
          <w:b w:val="0"/>
          <w:sz w:val="20"/>
        </w:rPr>
        <w:t>Date: ___________________________</w:t>
      </w:r>
    </w:p>
    <w:p>
      <w:r>
        <w:rPr>
          <w:b w:val="0"/>
          <w:sz w:val="20"/>
        </w:rPr>
        <w:t>Case No.: [To be assigned by the Court]</w:t>
      </w:r>
    </w:p>
    <w:p/>
    <w:p>
      <w:r>
        <w:rPr>
          <w:i/>
        </w:rPr>
        <w:t>This declaration is prepared pursuant to 11 U.S.C. §§ 521(a)(1) and 1125, and FRBP 1007. It does not constitute legal advice. The Debtor is represented by counsel of record in the above-captioned proceeding.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