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Historical Significance of the Neurogenetic SCOTUS Petitions</w:t>
      </w:r>
    </w:p>
    <w:p>
      <w:pPr>
        <w:pStyle w:val="MdParagraph"/>
      </w:pPr>
      <w:r>
        <w:t xml:space="preserve">The suite of five petitions presented by Caustin Lee McLaughlin represents a landmark moment in American jurisprudence, marking the first time a unified constitutional theory has integrated advanced neurogenetics, administrative law, and digital-era property rights into a single challenge before the Supreme Court of the United States.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The Convergence of Neurogenetics and Disability Law</w:t>
      </w:r>
    </w:p>
    <w:p>
      <w:pPr>
        <w:pStyle w:val="MdParagraph"/>
      </w:pPr>
      <w:r>
        <w:t xml:space="preserve">These petitions are historically significant because they move beyond the "social model" of disability into a "biological reality" framework. By citing landmark studies like </w:t>
      </w:r>
      <w:r>
        <w:rPr>
          <w:rStyle w:val="MdStrong"/>
          <w:b/>
          <w:bCs/>
        </w:rPr>
        <w:t xml:space="preserve">Demontis et al. (2019)</w:t>
      </w:r>
      <w:r>
        <w:t xml:space="preserve"> and </w:t>
      </w:r>
      <w:r>
        <w:rPr>
          <w:rStyle w:val="MdStrong"/>
          <w:b/>
          <w:bCs/>
        </w:rPr>
        <w:t xml:space="preserve">Meyer-Lindenberg et al. (2006)</w:t>
      </w:r>
      <w:r>
        <w:t xml:space="preserve">, the petitions demand that the law recognize </w:t>
      </w:r>
      <w:r>
        <w:rPr>
          <w:rStyle w:val="MdStrong"/>
          <w:b/>
          <w:bCs/>
        </w:rPr>
        <w:t xml:space="preserve">Polygenic Risk Scores (PRS)</w:t>
      </w:r>
      <w:r>
        <w:t xml:space="preserve"> and neuroimaging as objective medical evidence. This shifts the burden of proof from subjective clinical observation to quantifiable, heritable biomarkers, effectively creating a "molecular lens" for the Americans with Disabilities Act (ADA).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Redefining "Due Process" for the Algorithmic Age</w:t>
      </w:r>
    </w:p>
    <w:p>
      <w:pPr>
        <w:pStyle w:val="MdParagraph"/>
      </w:pPr>
      <w:r>
        <w:t xml:space="preserve">The petitions integrate the theory of </w:t>
      </w:r>
      <w:r>
        <w:rPr>
          <w:rStyle w:val="MdStrong"/>
          <w:b/>
          <w:bCs/>
        </w:rPr>
        <w:t xml:space="preserve">"Algorithmic Due Process,"</w:t>
      </w:r>
      <w:r>
        <w:t xml:space="preserve"> arguing that as government agencies move toward automated and data-driven decision-making, the Fifth Amendment must evolve. The challenge to the SSA’s categorical exclusion of genetic data asserts that "reasoned decision-making" under the Administrative Procedure Act (APA) is impossible if agencies ignore mature, peer-reviewed science.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"Neurogenetic Competency Gap" and Access to Justice</w:t>
      </w:r>
    </w:p>
    <w:p>
      <w:pPr>
        <w:pStyle w:val="MdParagraph"/>
      </w:pPr>
      <w:r>
        <w:t xml:space="preserve">A critical historical contribution of these filings is the identification of the </w:t>
      </w:r>
      <w:r>
        <w:rPr>
          <w:rStyle w:val="MdStrong"/>
          <w:b/>
          <w:bCs/>
        </w:rPr>
        <w:t xml:space="preserve">"400% metabolic biological tax"</w:t>
      </w:r>
      <w:r>
        <w:t xml:space="preserve"> imposed on neurodivergent litigants. By citing </w:t>
      </w:r>
      <w:r>
        <w:rPr>
          <w:rStyle w:val="MdStrong"/>
          <w:b/>
          <w:bCs/>
        </w:rPr>
        <w:t xml:space="preserve">Shenhav et al. (2017)</w:t>
      </w:r>
      <w:r>
        <w:t xml:space="preserve"> on the metabolic cost of cognitive control, the petitions argue that the denial of AI/LLM interfaces (the "cognitive ramp") is a structural barrier to justice. This frames technological accommodation not as a luxury, but as a constitutional necessity for meaningful participation in the "machinery of justice."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Post-Quantum Cryptography and Genetic Property</w:t>
      </w:r>
    </w:p>
    <w:p>
      <w:pPr>
        <w:pStyle w:val="MdParagraph"/>
      </w:pPr>
      <w:r>
        <w:t xml:space="preserve">The petitions break new ground by linking the </w:t>
      </w:r>
      <w:r>
        <w:rPr>
          <w:rStyle w:val="MdStrong"/>
          <w:b/>
          <w:bCs/>
        </w:rPr>
        <w:t xml:space="preserve">Takings Clause</w:t>
      </w:r>
      <w:r>
        <w:t xml:space="preserve"> to the security of genetic data in the quantum era. By citing </w:t>
      </w:r>
      <w:r>
        <w:rPr>
          <w:rStyle w:val="MdStrong"/>
          <w:b/>
          <w:bCs/>
        </w:rPr>
        <w:t xml:space="preserve">GAO-23-106559</w:t>
      </w:r>
      <w:r>
        <w:t xml:space="preserve">, the filings argue that the government’s failure to provide </w:t>
      </w:r>
      <w:r>
        <w:rPr>
          <w:rStyle w:val="MdStrong"/>
          <w:b/>
          <w:bCs/>
        </w:rPr>
        <w:t xml:space="preserve">Post-Quantum Cryptography (PQC)</w:t>
      </w:r>
      <w:r>
        <w:t xml:space="preserve"> for protected health data constitutes a regulatory taking of "Genomic-Phenotypic Intellectual Property." This positions genetic data as a "New Property" interest that the state has a fiduciary duty to protect.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Challenging "Strategic Mootness"</w:t>
      </w:r>
    </w:p>
    <w:p>
      <w:pPr>
        <w:pStyle w:val="MdParagraph"/>
      </w:pPr>
      <w:r>
        <w:t xml:space="preserve">Finally, the petitions address a systemic procedural tactic: the use of </w:t>
      </w:r>
      <w:r>
        <w:rPr>
          <w:rStyle w:val="MdStrong"/>
          <w:b/>
          <w:bCs/>
        </w:rPr>
        <w:t xml:space="preserve">nolle prosequi</w:t>
      </w:r>
      <w:r>
        <w:t xml:space="preserve"> to moot retaliatory prosecutions before they can reach federal review. By framing this as </w:t>
      </w:r>
      <w:r>
        <w:rPr>
          <w:rStyle w:val="MdStrong"/>
          <w:b/>
          <w:bCs/>
        </w:rPr>
        <w:t xml:space="preserve">"Strategic Mootness,"</w:t>
      </w:r>
      <w:r>
        <w:t xml:space="preserve"> the petitions ask the Court to expand the "capable of repetition, yet evading review" doctrine to prevent state actors from using procedural maneuvers to insulate constitutional violations from judicial oversight.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Theme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Source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Legal Impact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Neurogenetic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Demontis et al. (2019)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Validates PRS as objective disability evidence.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Cognitive Tax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Shenhav et al. (2017)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Mandates AI "ramps" as reasonable accommodations.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Genetic Property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GAO-23-106559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Establishes PQC as a Takings Clause requirement.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Algorithmic Due 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Yale Law Journal (2019)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Requires agencies to integrate mature science.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Constructive Custody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Jones v. Cunningham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Expands habeas corpus to functional restraints.</w:t>
            </w:r>
          </w:p>
        </w:tc>
      </w:tr>
    </w:tbl>
    <w:p>
      <w:pPr>
        <w:pStyle w:val="MdBlockquote"/>
      </w:pPr>
      <w:r>
        <w:t xml:space="preserve">"Modern genomics provides a 'molecular lens' through which the Court can view competency, and the failure to accommodate a verified genetic deficit in executive function is no different than the failure to provide a physical ramp for a wheelchair user."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2026-07-06T10:35:06.730Z</dcterms:created>
  <dcterms:modified xsi:type="dcterms:W3CDTF">2026-07-06T10:35:06.730Z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