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SSA Medical Discovery Platform: System Architecture</w:t>
      </w:r>
    </w:p>
    <w:p>
      <w:pPr>
        <w:pStyle w:val="Heading2"/>
        <w:pStyle w:val="MdHeading2"/>
      </w:pPr>
      <w:r>
        <w:t xml:space="preserve">Executive Summary</w:t>
      </w:r>
    </w:p>
    <w:p>
      <w:pPr>
        <w:pStyle w:val="MdParagraph"/>
      </w:pPr>
      <w:r>
        <w:t xml:space="preserve">The SSA Medical Discovery Platform is an enterprise-grade, AI-powered system designed to support disability claims adjudication by integrating multi-agent AI workflows, medical evidence discovery, genomic data processing, and regulatory compliance. The platform combines cutting-edge AI techniques (Retrieval-Augmented Generation, multi-agent orchestration) with post-quantum cryptographic security and comprehensive regulatory alignment to create a litigation-grade evidence system for Social Security Administration (SSA) disability cases.</w:t>
      </w:r>
    </w:p>
    <w:p>
      <w:pPr>
        <w:pStyle w:val="MdSpace"/>
        <w:spacing w:before="0" w:after="60"/>
      </w:pPr>
    </w:p>
    <w:p>
      <w:pPr>
        <w:pStyle w:val="Heading2"/>
        <w:pStyle w:val="MdHeading2"/>
      </w:pPr>
      <w:r>
        <w:t xml:space="preserve">System Overview</w:t>
      </w:r>
    </w:p>
    <w:p>
      <w:pPr>
        <w:pStyle w:val="Heading3"/>
        <w:pStyle w:val="MdHeading3"/>
      </w:pPr>
      <w:r>
        <w:t xml:space="preserve">Core Pillars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Pillar</w:t>
            </w:r>
          </w:p>
        </w:tc>
        <w:tc>
          <w:tcPr>
            <w:tcMar>
              <w:top w:type="dxa" w:w="100"/>
              <w:left w:type="dxa" w:w="120"/>
              <w:bottom w:type="dxa" w:w="100"/>
              <w:right w:type="dxa" w:w="120"/>
            </w:tcMar>
            <w:vAlign w:val="center"/>
          </w:tcPr>
          <w:p>
            <w:pPr>
              <w:pStyle w:val="MdTableHeader"/>
            </w:pPr>
            <w:r>
              <w:t xml:space="preserve">Purpose</w:t>
            </w:r>
          </w:p>
        </w:tc>
        <w:tc>
          <w:tcPr>
            <w:tcBorders>
              <w:right w:val="none"/>
            </w:tcBorders>
            <w:tcMar>
              <w:top w:type="dxa" w:w="100"/>
              <w:left w:type="dxa" w:w="120"/>
              <w:bottom w:type="dxa" w:w="100"/>
              <w:right w:type="dxa" w:w="120"/>
            </w:tcMar>
            <w:vAlign w:val="center"/>
          </w:tcPr>
          <w:p>
            <w:pPr>
              <w:pStyle w:val="MdTableHeader"/>
            </w:pPr>
            <w:r>
              <w:t xml:space="preserve">Key Technologies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Multi-Agent AI Orchestration</w:t>
            </w:r>
          </w:p>
        </w:tc>
        <w:tc>
          <w:tcPr>
            <w:tcMar>
              <w:top w:type="dxa" w:w="80"/>
              <w:left w:type="dxa" w:w="120"/>
              <w:bottom w:type="dxa" w:w="80"/>
              <w:right w:type="dxa" w:w="120"/>
            </w:tcMar>
            <w:vAlign w:val="center"/>
          </w:tcPr>
          <w:p>
            <w:pPr>
              <w:pStyle w:val="MdTableCell"/>
            </w:pPr>
            <w:r>
              <w:t xml:space="preserve">Coordinate specialized agents for medical extraction, policy analysis, and brief generation</w:t>
            </w:r>
          </w:p>
        </w:tc>
        <w:tc>
          <w:tcPr>
            <w:tcBorders>
              <w:right w:val="none"/>
            </w:tcBorders>
            <w:tcMar>
              <w:top w:type="dxa" w:w="80"/>
              <w:left w:type="dxa" w:w="120"/>
              <w:bottom w:type="dxa" w:w="80"/>
              <w:right w:type="dxa" w:w="120"/>
            </w:tcMar>
            <w:vAlign w:val="center"/>
          </w:tcPr>
          <w:p>
            <w:pPr>
              <w:pStyle w:val="MdTableCell"/>
            </w:pPr>
            <w:r>
              <w:t xml:space="preserve">LangChain, Claude/GPT-4, state machines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RAG-Based Evidence Discovery</w:t>
            </w:r>
          </w:p>
        </w:tc>
        <w:tc>
          <w:tcPr>
            <w:tcMar>
              <w:top w:type="dxa" w:w="80"/>
              <w:left w:type="dxa" w:w="120"/>
              <w:bottom w:type="dxa" w:w="80"/>
              <w:right w:type="dxa" w:w="120"/>
            </w:tcMar>
            <w:vAlign w:val="center"/>
          </w:tcPr>
          <w:p>
            <w:pPr>
              <w:pStyle w:val="MdTableCell"/>
            </w:pPr>
            <w:r>
              <w:t xml:space="preserve">Extract signals from massive medical records using semantic search</w:t>
            </w:r>
          </w:p>
        </w:tc>
        <w:tc>
          <w:tcPr>
            <w:tcBorders>
              <w:right w:val="none"/>
            </w:tcBorders>
            <w:tcMar>
              <w:top w:type="dxa" w:w="80"/>
              <w:left w:type="dxa" w:w="120"/>
              <w:bottom w:type="dxa" w:w="80"/>
              <w:right w:type="dxa" w:w="120"/>
            </w:tcMar>
            <w:vAlign w:val="center"/>
          </w:tcPr>
          <w:p>
            <w:pPr>
              <w:pStyle w:val="MdTableCell"/>
            </w:pPr>
            <w:r>
              <w:t xml:space="preserve">Vector embeddings, FAISS/Pinecone, LLM retrieval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Post-Quantum Security</w:t>
            </w:r>
          </w:p>
        </w:tc>
        <w:tc>
          <w:tcPr>
            <w:tcMar>
              <w:top w:type="dxa" w:w="80"/>
              <w:left w:type="dxa" w:w="120"/>
              <w:bottom w:type="dxa" w:w="80"/>
              <w:right w:type="dxa" w:w="120"/>
            </w:tcMar>
            <w:vAlign w:val="center"/>
          </w:tcPr>
          <w:p>
            <w:pPr>
              <w:pStyle w:val="MdTableCell"/>
            </w:pPr>
            <w:r>
              <w:t xml:space="preserve">Protect sensitive genomic and medical data against quantum threats</w:t>
            </w:r>
          </w:p>
        </w:tc>
        <w:tc>
          <w:tcPr>
            <w:tcBorders>
              <w:right w:val="none"/>
            </w:tcBorders>
            <w:tcMar>
              <w:top w:type="dxa" w:w="80"/>
              <w:left w:type="dxa" w:w="120"/>
              <w:bottom w:type="dxa" w:w="80"/>
              <w:right w:type="dxa" w:w="120"/>
            </w:tcMar>
            <w:vAlign w:val="center"/>
          </w:tcPr>
          <w:p>
            <w:pPr>
              <w:pStyle w:val="MdTableCell"/>
            </w:pPr>
            <w:r>
              <w:t xml:space="preserve">Kyber-768, Dilithium-III (NIST FIPS 203-205)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Regulatory Compliance</w:t>
            </w:r>
          </w:p>
        </w:tc>
        <w:tc>
          <w:tcPr>
            <w:tcMar>
              <w:top w:type="dxa" w:w="80"/>
              <w:left w:type="dxa" w:w="120"/>
              <w:bottom w:type="dxa" w:w="80"/>
              <w:right w:type="dxa" w:w="120"/>
            </w:tcMar>
            <w:vAlign w:val="center"/>
          </w:tcPr>
          <w:p>
            <w:pPr>
              <w:pStyle w:val="MdTableCell"/>
            </w:pPr>
            <w:r>
              <w:t xml:space="preserve">Ensure HIPAA, GINA, ADA, and SSA SSR 16-4p alignment</w:t>
            </w:r>
          </w:p>
        </w:tc>
        <w:tc>
          <w:tcPr>
            <w:tcBorders>
              <w:right w:val="none"/>
            </w:tcBorders>
            <w:tcMar>
              <w:top w:type="dxa" w:w="80"/>
              <w:left w:type="dxa" w:w="120"/>
              <w:bottom w:type="dxa" w:w="80"/>
              <w:right w:type="dxa" w:w="120"/>
            </w:tcMar>
            <w:vAlign w:val="center"/>
          </w:tcPr>
          <w:p>
            <w:pPr>
              <w:pStyle w:val="MdTableCell"/>
            </w:pPr>
            <w:r>
              <w:t xml:space="preserve">Automated mapping engines, audit trails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Federated Data Integration</w:t>
            </w:r>
          </w:p>
        </w:tc>
        <w:tc>
          <w:tcPr>
            <w:tcMar>
              <w:top w:type="dxa" w:w="80"/>
              <w:left w:type="dxa" w:w="120"/>
              <w:bottom w:type="dxa" w:w="80"/>
              <w:right w:type="dxa" w:w="120"/>
            </w:tcMar>
            <w:vAlign w:val="center"/>
          </w:tcPr>
          <w:p>
            <w:pPr>
              <w:pStyle w:val="MdTableCell"/>
            </w:pPr>
            <w:r>
              <w:t xml:space="preserve">Link legal precedents, biomedical research, and scholarly citations</w:t>
            </w:r>
          </w:p>
        </w:tc>
        <w:tc>
          <w:tcPr>
            <w:tcBorders>
              <w:right w:val="none"/>
            </w:tcBorders>
            <w:tcMar>
              <w:top w:type="dxa" w:w="80"/>
              <w:left w:type="dxa" w:w="120"/>
              <w:bottom w:type="dxa" w:w="80"/>
              <w:right w:type="dxa" w:w="120"/>
            </w:tcMar>
            <w:vAlign w:val="center"/>
          </w:tcPr>
          <w:p>
            <w:pPr>
              <w:pStyle w:val="MdTableCell"/>
            </w:pPr>
            <w:r>
              <w:t xml:space="preserve">PACER/CourtListener, PubMed API, ScholarPK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Case Management</w:t>
            </w:r>
          </w:p>
        </w:tc>
        <w:tc>
          <w:tcPr>
            <w:tcBorders>
              <w:bottom w:val="single" w:color="E1E4E8" w:sz="4"/>
            </w:tcBorders>
            <w:tcMar>
              <w:top w:type="dxa" w:w="80"/>
              <w:left w:type="dxa" w:w="120"/>
              <w:bottom w:type="dxa" w:w="80"/>
              <w:right w:type="dxa" w:w="120"/>
            </w:tcMar>
            <w:vAlign w:val="center"/>
          </w:tcPr>
          <w:p>
            <w:pPr>
              <w:pStyle w:val="MdTableCell"/>
            </w:pPr>
            <w:r>
              <w:t xml:space="preserve">Track disability claims with full evidence lineage and audit trails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Dashboard, document management, workflow tracking</w:t>
            </w:r>
          </w:p>
        </w:tc>
      </w:tr>
    </w:tbl>
    <w:p>
      <w:pPr>
        <w:pStyle w:val="MdHr"/>
        <w:pBdr>
          <w:bottom w:val="single" w:color="auto" w:sz="6" w:space="1"/>
        </w:pBdr>
      </w:pPr>
    </w:p>
    <w:p>
      <w:pPr>
        <w:pStyle w:val="MdSpace"/>
        <w:spacing w:before="0" w:after="60"/>
      </w:pPr>
    </w:p>
    <w:p>
      <w:pPr>
        <w:pStyle w:val="Heading2"/>
        <w:pStyle w:val="MdHeading2"/>
      </w:pPr>
      <w:r>
        <w:t xml:space="preserve">Detailed Architecture</w:t>
      </w:r>
    </w:p>
    <w:p>
      <w:pPr>
        <w:pStyle w:val="Heading3"/>
        <w:pStyle w:val="MdHeading3"/>
      </w:pPr>
      <w:r>
        <w:t xml:space="preserve">1. Multi-Agent AI Workflow System</w:t>
      </w:r>
    </w:p>
    <w:p>
      <w:pPr>
        <w:pStyle w:val="Heading4"/>
        <w:pStyle w:val="MdHeading4"/>
      </w:pPr>
      <w:r>
        <w:t xml:space="preserve">Agent Roles and Responsibilities</w:t>
      </w:r>
    </w:p>
    <w:p>
      <w:pPr>
        <w:pStyle w:val="MdParagraph"/>
      </w:pPr>
      <w:r>
        <w:t xml:space="preserve">The platform deploys four specialized agents, each with distinct responsibilities:</w:t>
      </w:r>
    </w:p>
    <w:p>
      <w:pPr>
        <w:pStyle w:val="MdSpace"/>
        <w:spacing w:before="0" w:after="60"/>
      </w:pPr>
    </w:p>
    <w:p>
      <w:pPr>
        <w:pStyle w:val="MdParagraph"/>
      </w:pPr>
      <w:r>
        <w:rPr>
          <w:rStyle w:val="MdStrong"/>
          <w:b/>
          <w:bCs/>
        </w:rPr>
        <w:t xml:space="preserve">Medical Extraction Agent</w:t>
      </w:r>
    </w:p>
    <w:p>
      <w:pPr>
        <w:pStyle w:val="MdListItem"/>
        <w:numPr>
          <w:ilvl w:val="0"/>
          <w:numId w:val="2"/>
        </w:numPr>
      </w:pPr>
      <w:r>
        <w:t xml:space="preserve">Parses raw clinical notes, lab results, and diagnostic reports</w:t>
      </w:r>
    </w:p>
    <w:p>
      <w:pPr>
        <w:pStyle w:val="MdListItem"/>
        <w:numPr>
          <w:ilvl w:val="0"/>
          <w:numId w:val="2"/>
        </w:numPr>
      </w:pPr>
      <w:r>
        <w:t xml:space="preserve">Extracts structured entities: diagnoses, medications, lab values, functional limitations</w:t>
      </w:r>
    </w:p>
    <w:p>
      <w:pPr>
        <w:pStyle w:val="MdListItem"/>
        <w:numPr>
          <w:ilvl w:val="0"/>
          <w:numId w:val="2"/>
        </w:numPr>
      </w:pPr>
      <w:r>
        <w:t xml:space="preserve">Applies medical domain knowledge to normalize terminology and resolve ambiguities</w:t>
      </w:r>
    </w:p>
    <w:p>
      <w:pPr>
        <w:pStyle w:val="MdListItem"/>
        <w:numPr>
          <w:ilvl w:val="0"/>
          <w:numId w:val="2"/>
        </w:numPr>
      </w:pPr>
      <w:r>
        <w:t xml:space="preserve">Outputs: Pydantic JSON schemas with confidence scores</w:t>
      </w:r>
    </w:p>
    <w:p>
      <w:pPr>
        <w:pStyle w:val="MdSpace"/>
        <w:spacing w:before="0" w:after="60"/>
      </w:pPr>
    </w:p>
    <w:p>
      <w:pPr>
        <w:pStyle w:val="MdParagraph"/>
      </w:pPr>
      <w:r>
        <w:rPr>
          <w:rStyle w:val="MdStrong"/>
          <w:b/>
          <w:bCs/>
        </w:rPr>
        <w:t xml:space="preserve">SSA Policy Agent</w:t>
      </w:r>
    </w:p>
    <w:p>
      <w:pPr>
        <w:pStyle w:val="MdListItem"/>
        <w:numPr>
          <w:ilvl w:val="0"/>
          <w:numId w:val="2"/>
        </w:numPr>
      </w:pPr>
      <w:r>
        <w:t xml:space="preserve">Cross-references extracted medical findings against SSA Listings 11.00 (Neurological) and 12.00 (Mental Disorders)</w:t>
      </w:r>
    </w:p>
    <w:p>
      <w:pPr>
        <w:pStyle w:val="MdListItem"/>
        <w:numPr>
          <w:ilvl w:val="0"/>
          <w:numId w:val="2"/>
        </w:numPr>
      </w:pPr>
      <w:r>
        <w:t xml:space="preserve">Evaluates functional limitations against "Blue Book" criteria</w:t>
      </w:r>
    </w:p>
    <w:p>
      <w:pPr>
        <w:pStyle w:val="MdListItem"/>
        <w:numPr>
          <w:ilvl w:val="0"/>
          <w:numId w:val="2"/>
        </w:numPr>
      </w:pPr>
      <w:r>
        <w:t xml:space="preserve">Generates policy-compliant evidence summaries</w:t>
      </w:r>
    </w:p>
    <w:p>
      <w:pPr>
        <w:pStyle w:val="MdListItem"/>
        <w:numPr>
          <w:ilvl w:val="0"/>
          <w:numId w:val="2"/>
        </w:numPr>
      </w:pPr>
      <w:r>
        <w:t xml:space="preserve">Outputs: Listing-specific evidence mappings with regulatory citations</w:t>
      </w:r>
    </w:p>
    <w:p>
      <w:pPr>
        <w:pStyle w:val="MdSpace"/>
        <w:spacing w:before="0" w:after="60"/>
      </w:pPr>
    </w:p>
    <w:p>
      <w:pPr>
        <w:pStyle w:val="MdParagraph"/>
      </w:pPr>
      <w:r>
        <w:rPr>
          <w:rStyle w:val="MdStrong"/>
          <w:b/>
          <w:bCs/>
        </w:rPr>
        <w:t xml:space="preserve">Legal Brief Writer Agent</w:t>
      </w:r>
    </w:p>
    <w:p>
      <w:pPr>
        <w:pStyle w:val="MdListItem"/>
        <w:numPr>
          <w:ilvl w:val="0"/>
          <w:numId w:val="2"/>
        </w:numPr>
      </w:pPr>
      <w:r>
        <w:t xml:space="preserve">Synthesizes medical evidence, policy analysis, and legal precedents into chronological narratives</w:t>
      </w:r>
    </w:p>
    <w:p>
      <w:pPr>
        <w:pStyle w:val="MdListItem"/>
        <w:numPr>
          <w:ilvl w:val="0"/>
          <w:numId w:val="2"/>
        </w:numPr>
      </w:pPr>
      <w:r>
        <w:t xml:space="preserve">Generates Bates-stamped, citation-rich legal briefs</w:t>
      </w:r>
    </w:p>
    <w:p>
      <w:pPr>
        <w:pStyle w:val="MdListItem"/>
        <w:numPr>
          <w:ilvl w:val="0"/>
          <w:numId w:val="2"/>
        </w:numPr>
      </w:pPr>
      <w:r>
        <w:t xml:space="preserve">Ensures compliance with SSR 16-4p evidentiary standards</w:t>
      </w:r>
    </w:p>
    <w:p>
      <w:pPr>
        <w:pStyle w:val="MdListItem"/>
        <w:numPr>
          <w:ilvl w:val="0"/>
          <w:numId w:val="2"/>
        </w:numPr>
      </w:pPr>
      <w:r>
        <w:t xml:space="preserve">Outputs: Litigation-ready briefs with embedded audit trails</w:t>
      </w:r>
    </w:p>
    <w:p>
      <w:pPr>
        <w:pStyle w:val="MdSpace"/>
        <w:spacing w:before="0" w:after="60"/>
      </w:pPr>
    </w:p>
    <w:p>
      <w:pPr>
        <w:pStyle w:val="MdParagraph"/>
      </w:pPr>
      <w:r>
        <w:rPr>
          <w:rStyle w:val="MdStrong"/>
          <w:b/>
          <w:bCs/>
        </w:rPr>
        <w:t xml:space="preserve">Supervisor Agent</w:t>
      </w:r>
    </w:p>
    <w:p>
      <w:pPr>
        <w:pStyle w:val="MdListItem"/>
        <w:numPr>
          <w:ilvl w:val="0"/>
          <w:numId w:val="2"/>
        </w:numPr>
      </w:pPr>
      <w:r>
        <w:t xml:space="preserve">Routes tasks between specialized agents</w:t>
      </w:r>
    </w:p>
    <w:p>
      <w:pPr>
        <w:pStyle w:val="MdListItem"/>
        <w:numPr>
          <w:ilvl w:val="0"/>
          <w:numId w:val="2"/>
        </w:numPr>
      </w:pPr>
      <w:r>
        <w:t xml:space="preserve">Manages workflow state machines and error recovery</w:t>
      </w:r>
    </w:p>
    <w:p>
      <w:pPr>
        <w:pStyle w:val="MdListItem"/>
        <w:numPr>
          <w:ilvl w:val="0"/>
          <w:numId w:val="2"/>
        </w:numPr>
      </w:pPr>
      <w:r>
        <w:t xml:space="preserve">Ensures consistency and prevents hallucination through validation loops</w:t>
      </w:r>
    </w:p>
    <w:p>
      <w:pPr>
        <w:pStyle w:val="MdListItem"/>
        <w:numPr>
          <w:ilvl w:val="0"/>
          <w:numId w:val="2"/>
        </w:numPr>
      </w:pPr>
      <w:r>
        <w:t xml:space="preserve">Outputs: Orchestration logs and quality assurance reports</w:t>
      </w:r>
    </w:p>
    <w:p>
      <w:pPr>
        <w:pStyle w:val="MdSpace"/>
        <w:spacing w:before="0" w:after="60"/>
      </w:pPr>
    </w:p>
    <w:p>
      <w:pPr>
        <w:pStyle w:val="Heading4"/>
        <w:pStyle w:val="MdHeading4"/>
      </w:pPr>
      <w:r>
        <w:t xml:space="preserve">Workflow State Machine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[IDLE]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(case submitted)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[INGESTION] → Medical Extraction Agent → [EXTRACTED]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[ANALYSIS] → SSA Policy Agent → [POLICY_MAPPED]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[SYNTHESIS] → Legal Brief Writer Agent → [BRIEF_GENERATED]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[AUDIT] → Supervisor Agent (validation) → [COMPLETE] or [REVISION_NEEDED]</w:t>
      </w:r>
    </w:p>
    <w:p>
      <w:pPr>
        <w:pStyle w:val="MdSpace"/>
        <w:spacing w:before="0" w:after="60"/>
      </w:pPr>
    </w:p>
    <w:p>
      <w:pPr>
        <w:pStyle w:val="Heading4"/>
        <w:pStyle w:val="MdHeading4"/>
      </w:pPr>
      <w:r>
        <w:t xml:space="preserve">Implementation Details</w:t>
      </w:r>
    </w:p>
    <w:p>
      <w:pPr>
        <w:pStyle w:val="MdListItem"/>
        <w:numPr>
          <w:ilvl w:val="0"/>
          <w:numId w:val="2"/>
        </w:numPr>
      </w:pPr>
      <w:r>
        <w:rPr>
          <w:rStyle w:val="MdStrong"/>
          <w:b/>
          <w:bCs/>
        </w:rPr>
        <w:t xml:space="preserve">Framework</w:t>
      </w:r>
      <w:r>
        <w:t xml:space="preserve">: LangChain with OpenAI/Claude function calling</w:t>
      </w:r>
    </w:p>
    <w:p>
      <w:pPr>
        <w:pStyle w:val="MdListItem"/>
        <w:numPr>
          <w:ilvl w:val="0"/>
          <w:numId w:val="2"/>
        </w:numPr>
      </w:pPr>
      <w:r>
        <w:rPr>
          <w:rStyle w:val="MdStrong"/>
          <w:b/>
          <w:bCs/>
        </w:rPr>
        <w:t xml:space="preserve">State Persistence</w:t>
      </w:r>
      <w:r>
        <w:t xml:space="preserve">: PostgreSQL with JSON workflow logs</w:t>
      </w:r>
    </w:p>
    <w:p>
      <w:pPr>
        <w:pStyle w:val="MdListItem"/>
        <w:numPr>
          <w:ilvl w:val="0"/>
          <w:numId w:val="2"/>
        </w:numPr>
      </w:pPr>
      <w:r>
        <w:rPr>
          <w:rStyle w:val="MdStrong"/>
          <w:b/>
          <w:bCs/>
        </w:rPr>
        <w:t xml:space="preserve">Error Handling</w:t>
      </w:r>
      <w:r>
        <w:t xml:space="preserve">: Automatic retry with exponential backoff; manual escalation for critical failures</w:t>
      </w:r>
    </w:p>
    <w:p>
      <w:pPr>
        <w:pStyle w:val="MdListItem"/>
        <w:numPr>
          <w:ilvl w:val="0"/>
          <w:numId w:val="2"/>
        </w:numPr>
      </w:pPr>
      <w:r>
        <w:rPr>
          <w:rStyle w:val="MdStrong"/>
          <w:b/>
          <w:bCs/>
        </w:rPr>
        <w:t xml:space="preserve">Validation</w:t>
      </w:r>
      <w:r>
        <w:t xml:space="preserve">: Each agent output validated against schema before downstream consumption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 RAG-Based Medical Evidence Discovery Pipeline</w:t>
      </w:r>
    </w:p>
    <w:p>
      <w:pPr>
        <w:pStyle w:val="Heading4"/>
        <w:pStyle w:val="MdHeading4"/>
      </w:pPr>
      <w:r>
        <w:t xml:space="preserve">Pipeline Stages</w:t>
      </w:r>
    </w:p>
    <w:p>
      <w:pPr>
        <w:pStyle w:val="MdParagraph"/>
      </w:pPr>
      <w:r>
        <w:rPr>
          <w:rStyle w:val="MdStrong"/>
          <w:b/>
          <w:bCs/>
        </w:rPr>
        <w:t xml:space="preserve">Stage 1: Document Ingestion</w:t>
      </w:r>
    </w:p>
    <w:p>
      <w:pPr>
        <w:pStyle w:val="MdListItem"/>
        <w:numPr>
          <w:ilvl w:val="0"/>
          <w:numId w:val="2"/>
        </w:numPr>
      </w:pPr>
      <w:r>
        <w:t xml:space="preserve">Accept PDFs, DOCX, OCR-processed faxes, and narrative text</w:t>
      </w:r>
    </w:p>
    <w:p>
      <w:pPr>
        <w:pStyle w:val="MdListItem"/>
        <w:numPr>
          <w:ilvl w:val="0"/>
          <w:numId w:val="2"/>
        </w:numPr>
      </w:pPr>
      <w:r>
        <w:t xml:space="preserve">Extract text with layout preservation (tables, structured data)</w:t>
      </w:r>
    </w:p>
    <w:p>
      <w:pPr>
        <w:pStyle w:val="MdListItem"/>
        <w:numPr>
          <w:ilvl w:val="0"/>
          <w:numId w:val="2"/>
        </w:numPr>
      </w:pPr>
      <w:r>
        <w:t xml:space="preserve">Chunk documents into semantic units (paragraphs, sections)</w:t>
      </w:r>
    </w:p>
    <w:p>
      <w:pPr>
        <w:pStyle w:val="MdSpace"/>
        <w:spacing w:before="0" w:after="60"/>
      </w:pPr>
    </w:p>
    <w:p>
      <w:pPr>
        <w:pStyle w:val="MdParagraph"/>
      </w:pPr>
      <w:r>
        <w:rPr>
          <w:rStyle w:val="MdStrong"/>
          <w:b/>
          <w:bCs/>
        </w:rPr>
        <w:t xml:space="preserve">Stage 2: Embedding and Vector Storage</w:t>
      </w:r>
    </w:p>
    <w:p>
      <w:pPr>
        <w:pStyle w:val="MdListItem"/>
        <w:numPr>
          <w:ilvl w:val="0"/>
          <w:numId w:val="2"/>
        </w:numPr>
      </w:pPr>
      <w:r>
        <w:t xml:space="preserve">Generate embeddings using OpenAI's text-embedding-3-large or open-source alternatives</w:t>
      </w:r>
    </w:p>
    <w:p>
      <w:pPr>
        <w:pStyle w:val="MdListItem"/>
        <w:numPr>
          <w:ilvl w:val="0"/>
          <w:numId w:val="2"/>
        </w:numPr>
      </w:pPr>
      <w:r>
        <w:t xml:space="preserve">Store embeddings in FAISS (local) or Pinecone (cloud-scale)</w:t>
      </w:r>
    </w:p>
    <w:p>
      <w:pPr>
        <w:pStyle w:val="MdListItem"/>
        <w:numPr>
          <w:ilvl w:val="0"/>
          <w:numId w:val="2"/>
        </w:numPr>
      </w:pPr>
      <w:r>
        <w:t xml:space="preserve">Maintain metadata: source document, date, provider, confidence scores</w:t>
      </w:r>
    </w:p>
    <w:p>
      <w:pPr>
        <w:pStyle w:val="MdSpace"/>
        <w:spacing w:before="0" w:after="60"/>
      </w:pPr>
    </w:p>
    <w:p>
      <w:pPr>
        <w:pStyle w:val="MdParagraph"/>
      </w:pPr>
      <w:r>
        <w:rPr>
          <w:rStyle w:val="MdStrong"/>
          <w:b/>
          <w:bCs/>
        </w:rPr>
        <w:t xml:space="preserve">Stage 3: Semantic Retrieval</w:t>
      </w:r>
    </w:p>
    <w:p>
      <w:pPr>
        <w:pStyle w:val="MdListItem"/>
        <w:numPr>
          <w:ilvl w:val="0"/>
          <w:numId w:val="2"/>
        </w:numPr>
      </w:pPr>
      <w:r>
        <w:t xml:space="preserve">Query: "Does the patient meet Listing 4.02 for Chronic Heart Failure?"</w:t>
      </w:r>
    </w:p>
    <w:p>
      <w:pPr>
        <w:pStyle w:val="MdListItem"/>
        <w:numPr>
          <w:ilvl w:val="0"/>
          <w:numId w:val="2"/>
        </w:numPr>
      </w:pPr>
      <w:r>
        <w:t xml:space="preserve">Retrieve top-K relevant chunks using cosine similarity</w:t>
      </w:r>
    </w:p>
    <w:p>
      <w:pPr>
        <w:pStyle w:val="MdListItem"/>
        <w:numPr>
          <w:ilvl w:val="0"/>
          <w:numId w:val="2"/>
        </w:numPr>
      </w:pPr>
      <w:r>
        <w:t xml:space="preserve">Re-rank using LLM-based relevance scoring</w:t>
      </w:r>
    </w:p>
    <w:p>
      <w:pPr>
        <w:pStyle w:val="MdSpace"/>
        <w:spacing w:before="0" w:after="60"/>
      </w:pPr>
    </w:p>
    <w:p>
      <w:pPr>
        <w:pStyle w:val="MdParagraph"/>
      </w:pPr>
      <w:r>
        <w:rPr>
          <w:rStyle w:val="MdStrong"/>
          <w:b/>
          <w:bCs/>
        </w:rPr>
        <w:t xml:space="preserve">Stage 4: Augmented Generation</w:t>
      </w:r>
    </w:p>
    <w:p>
      <w:pPr>
        <w:pStyle w:val="MdListItem"/>
        <w:numPr>
          <w:ilvl w:val="0"/>
          <w:numId w:val="2"/>
        </w:numPr>
      </w:pPr>
      <w:r>
        <w:t xml:space="preserve">Feed retrieved context + legal query to LLM</w:t>
      </w:r>
    </w:p>
    <w:p>
      <w:pPr>
        <w:pStyle w:val="MdListItem"/>
        <w:numPr>
          <w:ilvl w:val="0"/>
          <w:numId w:val="2"/>
        </w:numPr>
      </w:pPr>
      <w:r>
        <w:t xml:space="preserve">Generate grounded, citation-aware responses</w:t>
      </w:r>
    </w:p>
    <w:p>
      <w:pPr>
        <w:pStyle w:val="MdListItem"/>
        <w:numPr>
          <w:ilvl w:val="0"/>
          <w:numId w:val="2"/>
        </w:numPr>
      </w:pPr>
      <w:r>
        <w:t xml:space="preserve">Attach evidence provenance (document ID, page number, chunk ID)</w:t>
      </w:r>
    </w:p>
    <w:p>
      <w:pPr>
        <w:pStyle w:val="MdSpace"/>
        <w:spacing w:before="0" w:after="60"/>
      </w:pPr>
    </w:p>
    <w:p>
      <w:pPr>
        <w:pStyle w:val="Heading4"/>
        <w:pStyle w:val="MdHeading4"/>
      </w:pPr>
      <w:r>
        <w:t xml:space="preserve">Technical Stack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Component</w:t>
            </w:r>
          </w:p>
        </w:tc>
        <w:tc>
          <w:tcPr>
            <w:tcMar>
              <w:top w:type="dxa" w:w="100"/>
              <w:left w:type="dxa" w:w="120"/>
              <w:bottom w:type="dxa" w:w="100"/>
              <w:right w:type="dxa" w:w="120"/>
            </w:tcMar>
            <w:vAlign w:val="center"/>
          </w:tcPr>
          <w:p>
            <w:pPr>
              <w:pStyle w:val="MdTableHeader"/>
            </w:pPr>
            <w:r>
              <w:t xml:space="preserve">Technology</w:t>
            </w:r>
          </w:p>
        </w:tc>
        <w:tc>
          <w:tcPr>
            <w:tcBorders>
              <w:right w:val="none"/>
            </w:tcBorders>
            <w:tcMar>
              <w:top w:type="dxa" w:w="100"/>
              <w:left w:type="dxa" w:w="120"/>
              <w:bottom w:type="dxa" w:w="100"/>
              <w:right w:type="dxa" w:w="120"/>
            </w:tcMar>
            <w:vAlign w:val="center"/>
          </w:tcPr>
          <w:p>
            <w:pPr>
              <w:pStyle w:val="MdTableHeader"/>
            </w:pPr>
            <w:r>
              <w:t xml:space="preserve">Rationale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Document Processing</w:t>
            </w:r>
          </w:p>
        </w:tc>
        <w:tc>
          <w:tcPr>
            <w:tcMar>
              <w:top w:type="dxa" w:w="80"/>
              <w:left w:type="dxa" w:w="120"/>
              <w:bottom w:type="dxa" w:w="80"/>
              <w:right w:type="dxa" w:w="120"/>
            </w:tcMar>
            <w:vAlign w:val="center"/>
          </w:tcPr>
          <w:p>
            <w:pPr>
              <w:pStyle w:val="MdTableCell"/>
            </w:pPr>
            <w:r>
              <w:t xml:space="preserve">LangChain DocumentLoaders + PyPDF2</w:t>
            </w:r>
          </w:p>
        </w:tc>
        <w:tc>
          <w:tcPr>
            <w:tcBorders>
              <w:right w:val="none"/>
            </w:tcBorders>
            <w:tcMar>
              <w:top w:type="dxa" w:w="80"/>
              <w:left w:type="dxa" w:w="120"/>
              <w:bottom w:type="dxa" w:w="80"/>
              <w:right w:type="dxa" w:w="120"/>
            </w:tcMar>
            <w:vAlign w:val="center"/>
          </w:tcPr>
          <w:p>
            <w:pPr>
              <w:pStyle w:val="MdTableCell"/>
            </w:pPr>
            <w:r>
              <w:t xml:space="preserve">Handles multiple formats; preserves structure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Text Splitting</w:t>
            </w:r>
          </w:p>
        </w:tc>
        <w:tc>
          <w:tcPr>
            <w:tcMar>
              <w:top w:type="dxa" w:w="80"/>
              <w:left w:type="dxa" w:w="120"/>
              <w:bottom w:type="dxa" w:w="80"/>
              <w:right w:type="dxa" w:w="120"/>
            </w:tcMar>
            <w:vAlign w:val="center"/>
          </w:tcPr>
          <w:p>
            <w:pPr>
              <w:pStyle w:val="MdTableCell"/>
            </w:pPr>
            <w:r>
              <w:t xml:space="preserve">LangChain RecursiveCharacterTextSplitter</w:t>
            </w:r>
          </w:p>
        </w:tc>
        <w:tc>
          <w:tcPr>
            <w:tcBorders>
              <w:right w:val="none"/>
            </w:tcBorders>
            <w:tcMar>
              <w:top w:type="dxa" w:w="80"/>
              <w:left w:type="dxa" w:w="120"/>
              <w:bottom w:type="dxa" w:w="80"/>
              <w:right w:type="dxa" w:w="120"/>
            </w:tcMar>
            <w:vAlign w:val="center"/>
          </w:tcPr>
          <w:p>
            <w:pPr>
              <w:pStyle w:val="MdTableCell"/>
            </w:pPr>
            <w:r>
              <w:t xml:space="preserve">Semantic chunking with overlap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Embeddings</w:t>
            </w:r>
          </w:p>
        </w:tc>
        <w:tc>
          <w:tcPr>
            <w:tcMar>
              <w:top w:type="dxa" w:w="80"/>
              <w:left w:type="dxa" w:w="120"/>
              <w:bottom w:type="dxa" w:w="80"/>
              <w:right w:type="dxa" w:w="120"/>
            </w:tcMar>
            <w:vAlign w:val="center"/>
          </w:tcPr>
          <w:p>
            <w:pPr>
              <w:pStyle w:val="MdTableCell"/>
            </w:pPr>
            <w:r>
              <w:t xml:space="preserve">OpenAI text-embedding-3-large</w:t>
            </w:r>
          </w:p>
        </w:tc>
        <w:tc>
          <w:tcPr>
            <w:tcBorders>
              <w:right w:val="none"/>
            </w:tcBorders>
            <w:tcMar>
              <w:top w:type="dxa" w:w="80"/>
              <w:left w:type="dxa" w:w="120"/>
              <w:bottom w:type="dxa" w:w="80"/>
              <w:right w:type="dxa" w:w="120"/>
            </w:tcMar>
            <w:vAlign w:val="center"/>
          </w:tcPr>
          <w:p>
            <w:pPr>
              <w:pStyle w:val="MdTableCell"/>
            </w:pPr>
            <w:r>
              <w:t xml:space="preserve">High-quality, domain-agnostic vectors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Vector DB</w:t>
            </w:r>
          </w:p>
        </w:tc>
        <w:tc>
          <w:tcPr>
            <w:tcMar>
              <w:top w:type="dxa" w:w="80"/>
              <w:left w:type="dxa" w:w="120"/>
              <w:bottom w:type="dxa" w:w="80"/>
              <w:right w:type="dxa" w:w="120"/>
            </w:tcMar>
            <w:vAlign w:val="center"/>
          </w:tcPr>
          <w:p>
            <w:pPr>
              <w:pStyle w:val="MdTableCell"/>
            </w:pPr>
            <w:r>
              <w:t xml:space="preserve">Pinecone (cloud) or FAISS (local)</w:t>
            </w:r>
          </w:p>
        </w:tc>
        <w:tc>
          <w:tcPr>
            <w:tcBorders>
              <w:right w:val="none"/>
            </w:tcBorders>
            <w:tcMar>
              <w:top w:type="dxa" w:w="80"/>
              <w:left w:type="dxa" w:w="120"/>
              <w:bottom w:type="dxa" w:w="80"/>
              <w:right w:type="dxa" w:w="120"/>
            </w:tcMar>
            <w:vAlign w:val="center"/>
          </w:tcPr>
          <w:p>
            <w:pPr>
              <w:pStyle w:val="MdTableCell"/>
            </w:pPr>
            <w:r>
              <w:t xml:space="preserve">Scalability + cost trade-off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LLM</w:t>
            </w:r>
          </w:p>
        </w:tc>
        <w:tc>
          <w:tcPr>
            <w:tcMar>
              <w:top w:type="dxa" w:w="80"/>
              <w:left w:type="dxa" w:w="120"/>
              <w:bottom w:type="dxa" w:w="80"/>
              <w:right w:type="dxa" w:w="120"/>
            </w:tcMar>
            <w:vAlign w:val="center"/>
          </w:tcPr>
          <w:p>
            <w:pPr>
              <w:pStyle w:val="MdTableCell"/>
            </w:pPr>
            <w:r>
              <w:t xml:space="preserve">Claude 3.5 Sonnet or GPT-4 Turbo</w:t>
            </w:r>
          </w:p>
        </w:tc>
        <w:tc>
          <w:tcPr>
            <w:tcBorders>
              <w:right w:val="none"/>
            </w:tcBorders>
            <w:tcMar>
              <w:top w:type="dxa" w:w="80"/>
              <w:left w:type="dxa" w:w="120"/>
              <w:bottom w:type="dxa" w:w="80"/>
              <w:right w:type="dxa" w:w="120"/>
            </w:tcMar>
            <w:vAlign w:val="center"/>
          </w:tcPr>
          <w:p>
            <w:pPr>
              <w:pStyle w:val="MdTableCell"/>
            </w:pPr>
            <w:r>
              <w:t xml:space="preserve">Long context windows for evidence synthesis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Retrieval Ranking</w:t>
            </w:r>
          </w:p>
        </w:tc>
        <w:tc>
          <w:tcPr>
            <w:tcBorders>
              <w:bottom w:val="single" w:color="E1E4E8" w:sz="4"/>
            </w:tcBorders>
            <w:tcMar>
              <w:top w:type="dxa" w:w="80"/>
              <w:left w:type="dxa" w:w="120"/>
              <w:bottom w:type="dxa" w:w="80"/>
              <w:right w:type="dxa" w:w="120"/>
            </w:tcMar>
            <w:vAlign w:val="center"/>
          </w:tcPr>
          <w:p>
            <w:pPr>
              <w:pStyle w:val="MdTableCell"/>
            </w:pPr>
            <w:r>
              <w:t xml:space="preserve">LLM-based re-ranking (LangChain)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Improves precision for legal queries</w:t>
            </w:r>
          </w:p>
        </w:tc>
      </w:tr>
    </w:tbl>
    <w:p>
      <w:pPr>
        <w:pStyle w:val="MdHr"/>
        <w:pBdr>
          <w:bottom w:val="single" w:color="auto" w:sz="6" w:space="1"/>
        </w:pBdr>
      </w:pPr>
    </w:p>
    <w:p>
      <w:pPr>
        <w:pStyle w:val="MdSpace"/>
        <w:spacing w:before="0" w:after="60"/>
      </w:pPr>
    </w:p>
    <w:p>
      <w:pPr>
        <w:pStyle w:val="Heading3"/>
        <w:pStyle w:val="MdHeading3"/>
      </w:pPr>
      <w:r>
        <w:t xml:space="preserve">3. Post-Quantum Cryptographic Security</w:t>
      </w:r>
    </w:p>
    <w:p>
      <w:pPr>
        <w:pStyle w:val="Heading4"/>
        <w:pStyle w:val="MdHeading4"/>
      </w:pPr>
      <w:r>
        <w:t xml:space="preserve">Threat Model</w:t>
      </w:r>
    </w:p>
    <w:p>
      <w:pPr>
        <w:pStyle w:val="MdParagraph"/>
      </w:pPr>
      <w:r>
        <w:t xml:space="preserve">The platform protects against:</w:t>
      </w:r>
    </w:p>
    <w:p>
      <w:pPr>
        <w:pStyle w:val="MdListItem"/>
        <w:numPr>
          <w:ilvl w:val="0"/>
          <w:numId w:val="2"/>
        </w:numPr>
      </w:pPr>
      <w:r>
        <w:rPr>
          <w:rStyle w:val="MdStrong"/>
          <w:b/>
          <w:bCs/>
        </w:rPr>
        <w:t xml:space="preserve">Quantum computing threats</w:t>
      </w:r>
      <w:r>
        <w:t xml:space="preserve">: Harvest-now-decrypt-later attacks on long-term medical records</w:t>
      </w:r>
    </w:p>
    <w:p>
      <w:pPr>
        <w:pStyle w:val="MdListItem"/>
        <w:numPr>
          <w:ilvl w:val="0"/>
          <w:numId w:val="2"/>
        </w:numPr>
      </w:pPr>
      <w:r>
        <w:rPr>
          <w:rStyle w:val="MdStrong"/>
          <w:b/>
          <w:bCs/>
        </w:rPr>
        <w:t xml:space="preserve">Data breaches</w:t>
      </w:r>
      <w:r>
        <w:t xml:space="preserve">: Unauthorized access to genomic or medical information</w:t>
      </w:r>
    </w:p>
    <w:p>
      <w:pPr>
        <w:pStyle w:val="MdListItem"/>
        <w:numPr>
          <w:ilvl w:val="0"/>
          <w:numId w:val="2"/>
        </w:numPr>
      </w:pPr>
      <w:r>
        <w:rPr>
          <w:rStyle w:val="MdStrong"/>
          <w:b/>
          <w:bCs/>
        </w:rPr>
        <w:t xml:space="preserve">Tampering</w:t>
      </w:r>
      <w:r>
        <w:t xml:space="preserve">: Modification of evidence or audit trails</w:t>
      </w:r>
    </w:p>
    <w:p>
      <w:pPr>
        <w:pStyle w:val="MdListItem"/>
        <w:numPr>
          <w:ilvl w:val="0"/>
          <w:numId w:val="2"/>
        </w:numPr>
      </w:pPr>
      <w:r>
        <w:rPr>
          <w:rStyle w:val="MdStrong"/>
          <w:b/>
          <w:bCs/>
        </w:rPr>
        <w:t xml:space="preserve">Repudiation</w:t>
      </w:r>
      <w:r>
        <w:t xml:space="preserve">: Denial of evidence authenticity</w:t>
      </w:r>
    </w:p>
    <w:p>
      <w:pPr>
        <w:pStyle w:val="MdSpace"/>
        <w:spacing w:before="0" w:after="60"/>
      </w:pPr>
    </w:p>
    <w:p>
      <w:pPr>
        <w:pStyle w:val="Heading4"/>
        <w:pStyle w:val="MdHeading4"/>
      </w:pPr>
      <w:r>
        <w:t xml:space="preserve">Cryptographic Stack</w:t>
      </w:r>
    </w:p>
    <w:p>
      <w:pPr>
        <w:pStyle w:val="MdParagraph"/>
      </w:pPr>
      <w:r>
        <w:rPr>
          <w:rStyle w:val="MdStrong"/>
          <w:b/>
          <w:bCs/>
        </w:rPr>
        <w:t xml:space="preserve">Key Encapsulation (Confidentiality)</w:t>
      </w:r>
    </w:p>
    <w:p>
      <w:pPr>
        <w:pStyle w:val="MdListItem"/>
        <w:numPr>
          <w:ilvl w:val="0"/>
          <w:numId w:val="2"/>
        </w:numPr>
      </w:pPr>
      <w:r>
        <w:rPr>
          <w:rStyle w:val="MdStrong"/>
          <w:b/>
          <w:bCs/>
        </w:rPr>
        <w:t xml:space="preserve">Algorithm</w:t>
      </w:r>
      <w:r>
        <w:t xml:space="preserve">: CRYSTALS-Kyber (Kyber-768, NIST Level 1)</w:t>
      </w:r>
    </w:p>
    <w:p>
      <w:pPr>
        <w:pStyle w:val="MdListItem"/>
        <w:numPr>
          <w:ilvl w:val="0"/>
          <w:numId w:val="2"/>
        </w:numPr>
      </w:pPr>
      <w:r>
        <w:rPr>
          <w:rStyle w:val="MdStrong"/>
          <w:b/>
          <w:bCs/>
        </w:rPr>
        <w:t xml:space="preserve">Purpose</w:t>
      </w:r>
      <w:r>
        <w:t xml:space="preserve">: Protect symmetric keys for medical record encryption</w:t>
      </w:r>
    </w:p>
    <w:p>
      <w:pPr>
        <w:pStyle w:val="MdListItem"/>
        <w:numPr>
          <w:ilvl w:val="0"/>
          <w:numId w:val="2"/>
        </w:numPr>
      </w:pPr>
      <w:r>
        <w:rPr>
          <w:rStyle w:val="MdStrong"/>
          <w:b/>
          <w:bCs/>
        </w:rPr>
        <w:t xml:space="preserve">Quantum Resistance</w:t>
      </w:r>
      <w:r>
        <w:t xml:space="preserve">: Lattice-based, resistant to Shor's algorithm</w:t>
      </w:r>
    </w:p>
    <w:p>
      <w:pPr>
        <w:pStyle w:val="MdSpace"/>
        <w:spacing w:before="0" w:after="60"/>
      </w:pPr>
    </w:p>
    <w:p>
      <w:pPr>
        <w:pStyle w:val="MdParagraph"/>
      </w:pPr>
      <w:r>
        <w:rPr>
          <w:rStyle w:val="MdStrong"/>
          <w:b/>
          <w:bCs/>
        </w:rPr>
        <w:t xml:space="preserve">Digital Signatures (Authenticity)</w:t>
      </w:r>
    </w:p>
    <w:p>
      <w:pPr>
        <w:pStyle w:val="MdListItem"/>
        <w:numPr>
          <w:ilvl w:val="0"/>
          <w:numId w:val="2"/>
        </w:numPr>
      </w:pPr>
      <w:r>
        <w:rPr>
          <w:rStyle w:val="MdStrong"/>
          <w:b/>
          <w:bCs/>
        </w:rPr>
        <w:t xml:space="preserve">Algorithm</w:t>
      </w:r>
      <w:r>
        <w:t xml:space="preserve">: CRYSTALS-Dilithium-III (NIST Level 2)</w:t>
      </w:r>
    </w:p>
    <w:p>
      <w:pPr>
        <w:pStyle w:val="MdListItem"/>
        <w:numPr>
          <w:ilvl w:val="0"/>
          <w:numId w:val="2"/>
        </w:numPr>
      </w:pPr>
      <w:r>
        <w:rPr>
          <w:rStyle w:val="MdStrong"/>
          <w:b/>
          <w:bCs/>
        </w:rPr>
        <w:t xml:space="preserve">Purpose</w:t>
      </w:r>
      <w:r>
        <w:t xml:space="preserve">: Sign regulatory manifests, audit logs, and evidence chains</w:t>
      </w:r>
    </w:p>
    <w:p>
      <w:pPr>
        <w:pStyle w:val="MdListItem"/>
        <w:numPr>
          <w:ilvl w:val="0"/>
          <w:numId w:val="2"/>
        </w:numPr>
      </w:pPr>
      <w:r>
        <w:rPr>
          <w:rStyle w:val="MdStrong"/>
          <w:b/>
          <w:bCs/>
        </w:rPr>
        <w:t xml:space="preserve">Quantum Resistance</w:t>
      </w:r>
      <w:r>
        <w:t xml:space="preserve">: Lattice-based, unforgeable against quantum adversaries</w:t>
      </w:r>
    </w:p>
    <w:p>
      <w:pPr>
        <w:pStyle w:val="MdSpace"/>
        <w:spacing w:before="0" w:after="60"/>
      </w:pPr>
    </w:p>
    <w:p>
      <w:pPr>
        <w:pStyle w:val="MdParagraph"/>
      </w:pPr>
      <w:r>
        <w:rPr>
          <w:rStyle w:val="MdStrong"/>
          <w:b/>
          <w:bCs/>
        </w:rPr>
        <w:t xml:space="preserve">Symmetric Encryption</w:t>
      </w:r>
    </w:p>
    <w:p>
      <w:pPr>
        <w:pStyle w:val="MdListItem"/>
        <w:numPr>
          <w:ilvl w:val="0"/>
          <w:numId w:val="2"/>
        </w:numPr>
      </w:pPr>
      <w:r>
        <w:rPr>
          <w:rStyle w:val="MdStrong"/>
          <w:b/>
          <w:bCs/>
        </w:rPr>
        <w:t xml:space="preserve">Algorithm</w:t>
      </w:r>
      <w:r>
        <w:t xml:space="preserve">: AES-256-GCM</w:t>
      </w:r>
    </w:p>
    <w:p>
      <w:pPr>
        <w:pStyle w:val="MdListItem"/>
        <w:numPr>
          <w:ilvl w:val="0"/>
          <w:numId w:val="2"/>
        </w:numPr>
      </w:pPr>
      <w:r>
        <w:rPr>
          <w:rStyle w:val="MdStrong"/>
          <w:b/>
          <w:bCs/>
        </w:rPr>
        <w:t xml:space="preserve">Purpose</w:t>
      </w:r>
      <w:r>
        <w:t xml:space="preserve">: Encrypt medical records and genomic data at rest</w:t>
      </w:r>
    </w:p>
    <w:p>
      <w:pPr>
        <w:pStyle w:val="MdListItem"/>
        <w:numPr>
          <w:ilvl w:val="0"/>
          <w:numId w:val="2"/>
        </w:numPr>
      </w:pPr>
      <w:r>
        <w:rPr>
          <w:rStyle w:val="MdStrong"/>
          <w:b/>
          <w:bCs/>
        </w:rPr>
        <w:t xml:space="preserve">Key Derivation</w:t>
      </w:r>
      <w:r>
        <w:t xml:space="preserve">: HKDF-SHA3-256</w:t>
      </w:r>
    </w:p>
    <w:p>
      <w:pPr>
        <w:pStyle w:val="MdSpace"/>
        <w:spacing w:before="0" w:after="60"/>
      </w:pPr>
    </w:p>
    <w:p>
      <w:pPr>
        <w:pStyle w:val="MdParagraph"/>
      </w:pPr>
      <w:r>
        <w:rPr>
          <w:rStyle w:val="MdStrong"/>
          <w:b/>
          <w:bCs/>
        </w:rPr>
        <w:t xml:space="preserve">Hashing (Integrity)</w:t>
      </w:r>
    </w:p>
    <w:p>
      <w:pPr>
        <w:pStyle w:val="MdListItem"/>
        <w:numPr>
          <w:ilvl w:val="0"/>
          <w:numId w:val="2"/>
        </w:numPr>
      </w:pPr>
      <w:r>
        <w:rPr>
          <w:rStyle w:val="MdStrong"/>
          <w:b/>
          <w:bCs/>
        </w:rPr>
        <w:t xml:space="preserve">Algorithm</w:t>
      </w:r>
      <w:r>
        <w:t xml:space="preserve">: SHA3-256</w:t>
      </w:r>
    </w:p>
    <w:p>
      <w:pPr>
        <w:pStyle w:val="MdListItem"/>
        <w:numPr>
          <w:ilvl w:val="0"/>
          <w:numId w:val="2"/>
        </w:numPr>
      </w:pPr>
      <w:r>
        <w:rPr>
          <w:rStyle w:val="MdStrong"/>
          <w:b/>
          <w:bCs/>
        </w:rPr>
        <w:t xml:space="preserve">Purpose</w:t>
      </w:r>
      <w:r>
        <w:t xml:space="preserve">: Generate Semantic Evidence Trace (SET) fingerprints</w:t>
      </w:r>
    </w:p>
    <w:p>
      <w:pPr>
        <w:pStyle w:val="MdListItem"/>
        <w:numPr>
          <w:ilvl w:val="0"/>
          <w:numId w:val="2"/>
        </w:numPr>
      </w:pPr>
      <w:r>
        <w:rPr>
          <w:rStyle w:val="MdStrong"/>
          <w:b/>
          <w:bCs/>
        </w:rPr>
        <w:t xml:space="preserve">Collision Resistance</w:t>
      </w:r>
      <w:r>
        <w:t xml:space="preserve">: Quantum-resistant</w:t>
      </w:r>
    </w:p>
    <w:p>
      <w:pPr>
        <w:pStyle w:val="MdSpace"/>
        <w:spacing w:before="0" w:after="60"/>
      </w:pPr>
    </w:p>
    <w:p>
      <w:pPr>
        <w:pStyle w:val="Heading4"/>
        <w:pStyle w:val="MdHeading4"/>
      </w:pPr>
      <w:r>
        <w:t xml:space="preserve">Implementation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Pseudocode: Encrypt medical record with PQC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medicalRecord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diagnosis: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labs: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kyberKeypair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generateKyberKeypair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ciphertext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sharedSecret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kyberEncapsulate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(kyberRecord.publicKey);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aesKey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hkdf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(sharedSecret,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"medical-record-encryption"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encryptedRecord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aesEncrypt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(medicalRecord, aesKey);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signature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dilithiumSign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(encryptedRecord, dilithiumPrivateKey);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storage.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encryptedData: encryptedRecord,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kyberCiphertext: ciphertext,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signature: signature,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Date.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Compliance Alignment</w:t>
      </w:r>
    </w:p>
    <w:p>
      <w:pPr>
        <w:pStyle w:val="MdListItem"/>
        <w:numPr>
          <w:ilvl w:val="0"/>
          <w:numId w:val="2"/>
        </w:numPr>
      </w:pPr>
      <w:r>
        <w:rPr>
          <w:rStyle w:val="MdStrong"/>
          <w:b/>
          <w:bCs/>
        </w:rPr>
        <w:t xml:space="preserve">NIST FIPS 203-205</w:t>
      </w:r>
      <w:r>
        <w:t xml:space="preserve">: Post-quantum cryptography standardization (2024)</w:t>
      </w:r>
    </w:p>
    <w:p>
      <w:pPr>
        <w:pStyle w:val="MdListItem"/>
        <w:numPr>
          <w:ilvl w:val="0"/>
          <w:numId w:val="2"/>
        </w:numPr>
      </w:pPr>
      <w:r>
        <w:rPr>
          <w:rStyle w:val="MdStrong"/>
          <w:b/>
          <w:bCs/>
        </w:rPr>
        <w:t xml:space="preserve">OMB M-23-02</w:t>
      </w:r>
      <w:r>
        <w:t xml:space="preserve">: Federal cryptographic modernization mandate</w:t>
      </w:r>
    </w:p>
    <w:p>
      <w:pPr>
        <w:pStyle w:val="MdListItem"/>
        <w:numPr>
          <w:ilvl w:val="0"/>
          <w:numId w:val="2"/>
        </w:numPr>
      </w:pPr>
      <w:r>
        <w:rPr>
          <w:rStyle w:val="MdStrong"/>
          <w:b/>
          <w:bCs/>
        </w:rPr>
        <w:t xml:space="preserve">HIPAA Security Rule</w:t>
      </w:r>
      <w:r>
        <w:t xml:space="preserve">: Encryption and key management safeguards</w:t>
      </w:r>
    </w:p>
    <w:p>
      <w:pPr>
        <w:pStyle w:val="MdListItem"/>
        <w:numPr>
          <w:ilvl w:val="0"/>
          <w:numId w:val="2"/>
        </w:numPr>
      </w:pPr>
      <w:r>
        <w:rPr>
          <w:rStyle w:val="MdStrong"/>
          <w:b/>
          <w:bCs/>
        </w:rPr>
        <w:t xml:space="preserve">GINA</w:t>
      </w:r>
      <w:r>
        <w:t xml:space="preserve">: Genetic information protection standards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 Automated Regulatory Mapping Engine</w:t>
      </w:r>
    </w:p>
    <w:p>
      <w:pPr>
        <w:pStyle w:val="Heading4"/>
        <w:pStyle w:val="MdHeading4"/>
      </w:pPr>
      <w:r>
        <w:t xml:space="preserve">SSA Listings Crosswalk</w:t>
      </w:r>
    </w:p>
    <w:p>
      <w:pPr>
        <w:pStyle w:val="MdParagraph"/>
      </w:pPr>
      <w:r>
        <w:t xml:space="preserve">The engine maps extracted medical findings to SSA Listings 11.00 and 12.00 using rule-based logic:</w:t>
      </w:r>
    </w:p>
    <w:p>
      <w:pPr>
        <w:pStyle w:val="MdSpace"/>
        <w:spacing w:before="0" w:after="60"/>
      </w:pPr>
    </w:p>
    <w:p>
      <w:pPr>
        <w:pStyle w:val="MdParagraph"/>
      </w:pPr>
      <w:r>
        <w:rPr>
          <w:rStyle w:val="MdStrong"/>
          <w:b/>
          <w:bCs/>
        </w:rPr>
        <w:t xml:space="preserve">Example: Chronic Obstructive Pulmonary Disease (COPD)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Finding</w:t>
            </w:r>
          </w:p>
        </w:tc>
        <w:tc>
          <w:tcPr>
            <w:tcMar>
              <w:top w:type="dxa" w:w="100"/>
              <w:left w:type="dxa" w:w="120"/>
              <w:bottom w:type="dxa" w:w="100"/>
              <w:right w:type="dxa" w:w="120"/>
            </w:tcMar>
            <w:vAlign w:val="center"/>
          </w:tcPr>
          <w:p>
            <w:pPr>
              <w:pStyle w:val="MdTableHeader"/>
            </w:pPr>
            <w:r>
              <w:t xml:space="preserve">SSA Listing</w:t>
            </w:r>
          </w:p>
        </w:tc>
        <w:tc>
          <w:tcPr>
            <w:tcMar>
              <w:top w:type="dxa" w:w="100"/>
              <w:left w:type="dxa" w:w="120"/>
              <w:bottom w:type="dxa" w:w="100"/>
              <w:right w:type="dxa" w:w="120"/>
            </w:tcMar>
            <w:vAlign w:val="center"/>
          </w:tcPr>
          <w:p>
            <w:pPr>
              <w:pStyle w:val="MdTableHeader"/>
            </w:pPr>
            <w:r>
              <w:t xml:space="preserve">Criteria</w:t>
            </w:r>
          </w:p>
        </w:tc>
        <w:tc>
          <w:tcPr>
            <w:tcBorders>
              <w:right w:val="none"/>
            </w:tcBorders>
            <w:tcMar>
              <w:top w:type="dxa" w:w="100"/>
              <w:left w:type="dxa" w:w="120"/>
              <w:bottom w:type="dxa" w:w="100"/>
              <w:right w:type="dxa" w:w="120"/>
            </w:tcMar>
            <w:vAlign w:val="center"/>
          </w:tcPr>
          <w:p>
            <w:pPr>
              <w:pStyle w:val="MdTableHeader"/>
            </w:pPr>
            <w:r>
              <w:t xml:space="preserve">Evidence 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FEV1 &lt; 40% predicted</w:t>
            </w:r>
          </w:p>
        </w:tc>
        <w:tc>
          <w:tcPr>
            <w:tcMar>
              <w:top w:type="dxa" w:w="80"/>
              <w:left w:type="dxa" w:w="120"/>
              <w:bottom w:type="dxa" w:w="80"/>
              <w:right w:type="dxa" w:w="120"/>
            </w:tcMar>
            <w:vAlign w:val="center"/>
          </w:tcPr>
          <w:p>
            <w:pPr>
              <w:pStyle w:val="MdTableCell"/>
            </w:pPr>
            <w:r>
              <w:t xml:space="preserve">3.02</w:t>
            </w:r>
          </w:p>
        </w:tc>
        <w:tc>
          <w:tcPr>
            <w:tcMar>
              <w:top w:type="dxa" w:w="80"/>
              <w:left w:type="dxa" w:w="120"/>
              <w:bottom w:type="dxa" w:w="80"/>
              <w:right w:type="dxa" w:w="120"/>
            </w:tcMar>
            <w:vAlign w:val="center"/>
          </w:tcPr>
          <w:p>
            <w:pPr>
              <w:pStyle w:val="MdTableCell"/>
            </w:pPr>
            <w:r>
              <w:t xml:space="preserve">Severe airway obstruction</w:t>
            </w:r>
          </w:p>
        </w:tc>
        <w:tc>
          <w:tcPr>
            <w:tcBorders>
              <w:right w:val="none"/>
            </w:tcBorders>
            <w:tcMar>
              <w:top w:type="dxa" w:w="80"/>
              <w:left w:type="dxa" w:w="120"/>
              <w:bottom w:type="dxa" w:w="80"/>
              <w:right w:type="dxa" w:w="120"/>
            </w:tcMar>
            <w:vAlign w:val="center"/>
          </w:tcPr>
          <w:p>
            <w:pPr>
              <w:pStyle w:val="MdTableCell"/>
            </w:pPr>
            <w:r>
              <w:t xml:space="preserve">Spirometry report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Dyspnea limiting work</w:t>
            </w:r>
          </w:p>
        </w:tc>
        <w:tc>
          <w:tcPr>
            <w:tcMar>
              <w:top w:type="dxa" w:w="80"/>
              <w:left w:type="dxa" w:w="120"/>
              <w:bottom w:type="dxa" w:w="80"/>
              <w:right w:type="dxa" w:w="120"/>
            </w:tcMar>
            <w:vAlign w:val="center"/>
          </w:tcPr>
          <w:p>
            <w:pPr>
              <w:pStyle w:val="MdTableCell"/>
            </w:pPr>
            <w:r>
              <w:t xml:space="preserve">3.02(a)</w:t>
            </w:r>
          </w:p>
        </w:tc>
        <w:tc>
          <w:tcPr>
            <w:tcMar>
              <w:top w:type="dxa" w:w="80"/>
              <w:left w:type="dxa" w:w="120"/>
              <w:bottom w:type="dxa" w:w="80"/>
              <w:right w:type="dxa" w:w="120"/>
            </w:tcMar>
            <w:vAlign w:val="center"/>
          </w:tcPr>
          <w:p>
            <w:pPr>
              <w:pStyle w:val="MdTableCell"/>
            </w:pPr>
            <w:r>
              <w:t xml:space="preserve">Functional limitation</w:t>
            </w:r>
          </w:p>
        </w:tc>
        <w:tc>
          <w:tcPr>
            <w:tcBorders>
              <w:right w:val="none"/>
            </w:tcBorders>
            <w:tcMar>
              <w:top w:type="dxa" w:w="80"/>
              <w:left w:type="dxa" w:w="120"/>
              <w:bottom w:type="dxa" w:w="80"/>
              <w:right w:type="dxa" w:w="120"/>
            </w:tcMar>
            <w:vAlign w:val="center"/>
          </w:tcPr>
          <w:p>
            <w:pPr>
              <w:pStyle w:val="MdTableCell"/>
            </w:pPr>
            <w:r>
              <w:t xml:space="preserve">Clinical notes + exercise tolerance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Frequent exacerbations</w:t>
            </w:r>
          </w:p>
        </w:tc>
        <w:tc>
          <w:tcPr>
            <w:tcBorders>
              <w:bottom w:val="single" w:color="E1E4E8" w:sz="4"/>
            </w:tcBorders>
            <w:tcMar>
              <w:top w:type="dxa" w:w="80"/>
              <w:left w:type="dxa" w:w="120"/>
              <w:bottom w:type="dxa" w:w="80"/>
              <w:right w:type="dxa" w:w="120"/>
            </w:tcMar>
            <w:vAlign w:val="center"/>
          </w:tcPr>
          <w:p>
            <w:pPr>
              <w:pStyle w:val="MdTableCell"/>
            </w:pPr>
            <w:r>
              <w:t xml:space="preserve">3.02(b)</w:t>
            </w:r>
          </w:p>
        </w:tc>
        <w:tc>
          <w:tcPr>
            <w:tcBorders>
              <w:bottom w:val="single" w:color="E1E4E8" w:sz="4"/>
            </w:tcBorders>
            <w:tcMar>
              <w:top w:type="dxa" w:w="80"/>
              <w:left w:type="dxa" w:w="120"/>
              <w:bottom w:type="dxa" w:w="80"/>
              <w:right w:type="dxa" w:w="120"/>
            </w:tcMar>
            <w:vAlign w:val="center"/>
          </w:tcPr>
          <w:p>
            <w:pPr>
              <w:pStyle w:val="MdTableCell"/>
            </w:pPr>
            <w:r>
              <w:t xml:space="preserve">Disease severity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Hospitalization records</w:t>
            </w:r>
          </w:p>
        </w:tc>
      </w:tr>
    </w:tbl>
    <w:p>
      <w:pPr>
        <w:pStyle w:val="Heading4"/>
        <w:pStyle w:val="MdHeading4"/>
      </w:pPr>
      <w:r>
        <w:t xml:space="preserve">Compliance Mapping</w:t>
      </w:r>
    </w:p>
    <w:p>
      <w:pPr>
        <w:pStyle w:val="MdParagraph"/>
      </w:pPr>
      <w:r>
        <w:rPr>
          <w:rStyle w:val="MdStrong"/>
          <w:b/>
          <w:bCs/>
        </w:rPr>
        <w:t xml:space="preserve">HIPAA Privacy Rule</w:t>
      </w:r>
    </w:p>
    <w:p>
      <w:pPr>
        <w:pStyle w:val="MdListItem"/>
        <w:numPr>
          <w:ilvl w:val="0"/>
          <w:numId w:val="2"/>
        </w:numPr>
      </w:pPr>
      <w:r>
        <w:t xml:space="preserve">Minimum necessary principle: Extract only relevant clinical data</w:t>
      </w:r>
    </w:p>
    <w:p>
      <w:pPr>
        <w:pStyle w:val="MdListItem"/>
        <w:numPr>
          <w:ilvl w:val="0"/>
          <w:numId w:val="2"/>
        </w:numPr>
      </w:pPr>
      <w:r>
        <w:t xml:space="preserve">Patient authorization: Verify consent before processing</w:t>
      </w:r>
    </w:p>
    <w:p>
      <w:pPr>
        <w:pStyle w:val="MdListItem"/>
        <w:numPr>
          <w:ilvl w:val="0"/>
          <w:numId w:val="2"/>
        </w:numPr>
      </w:pPr>
      <w:r>
        <w:t xml:space="preserve">De-identification: Remove PHI for research/testing</w:t>
      </w:r>
    </w:p>
    <w:p>
      <w:pPr>
        <w:pStyle w:val="MdSpace"/>
        <w:spacing w:before="0" w:after="60"/>
      </w:pPr>
    </w:p>
    <w:p>
      <w:pPr>
        <w:pStyle w:val="MdParagraph"/>
      </w:pPr>
      <w:r>
        <w:rPr>
          <w:rStyle w:val="MdStrong"/>
          <w:b/>
          <w:bCs/>
        </w:rPr>
        <w:t xml:space="preserve">GINA (Genetic Information Nondiscrimination Act)</w:t>
      </w:r>
    </w:p>
    <w:p>
      <w:pPr>
        <w:pStyle w:val="MdListItem"/>
        <w:numPr>
          <w:ilvl w:val="0"/>
          <w:numId w:val="2"/>
        </w:numPr>
      </w:pPr>
      <w:r>
        <w:t xml:space="preserve">Flag genomic data: Mark all genetic test results with GINA compliance metadata</w:t>
      </w:r>
    </w:p>
    <w:p>
      <w:pPr>
        <w:pStyle w:val="MdListItem"/>
        <w:numPr>
          <w:ilvl w:val="0"/>
          <w:numId w:val="2"/>
        </w:numPr>
      </w:pPr>
      <w:r>
        <w:t xml:space="preserve">Access controls: Restrict genomic data to authorized personnel</w:t>
      </w:r>
    </w:p>
    <w:p>
      <w:pPr>
        <w:pStyle w:val="MdListItem"/>
        <w:numPr>
          <w:ilvl w:val="0"/>
          <w:numId w:val="2"/>
        </w:numPr>
      </w:pPr>
      <w:r>
        <w:t xml:space="preserve">Retention limits: Enforce data deletion policies per GINA guidelines</w:t>
      </w:r>
    </w:p>
    <w:p>
      <w:pPr>
        <w:pStyle w:val="MdSpace"/>
        <w:spacing w:before="0" w:after="60"/>
      </w:pPr>
    </w:p>
    <w:p>
      <w:pPr>
        <w:pStyle w:val="MdParagraph"/>
      </w:pPr>
      <w:r>
        <w:rPr>
          <w:rStyle w:val="MdStrong"/>
          <w:b/>
          <w:bCs/>
        </w:rPr>
        <w:t xml:space="preserve">ADA Title II/III</w:t>
      </w:r>
    </w:p>
    <w:p>
      <w:pPr>
        <w:pStyle w:val="MdListItem"/>
        <w:numPr>
          <w:ilvl w:val="0"/>
          <w:numId w:val="2"/>
        </w:numPr>
      </w:pPr>
      <w:r>
        <w:t xml:space="preserve">Accessibility compliance: Ensure all UI components meet WCAG 2.1 AA standards</w:t>
      </w:r>
    </w:p>
    <w:p>
      <w:pPr>
        <w:pStyle w:val="MdListItem"/>
        <w:numPr>
          <w:ilvl w:val="0"/>
          <w:numId w:val="2"/>
        </w:numPr>
      </w:pPr>
      <w:r>
        <w:t xml:space="preserve">Reasonable accommodations: Support alternative input/output formats</w:t>
      </w:r>
    </w:p>
    <w:p>
      <w:pPr>
        <w:pStyle w:val="MdListItem"/>
        <w:numPr>
          <w:ilvl w:val="0"/>
          <w:numId w:val="2"/>
        </w:numPr>
      </w:pPr>
      <w:r>
        <w:t xml:space="preserve">Non-discrimination: Prevent algorithmic bias in evidence ranking</w:t>
      </w:r>
    </w:p>
    <w:p>
      <w:pPr>
        <w:pStyle w:val="MdSpace"/>
        <w:spacing w:before="0" w:after="60"/>
      </w:pPr>
    </w:p>
    <w:p>
      <w:pPr>
        <w:pStyle w:val="Heading4"/>
        <w:pStyle w:val="MdHeading4"/>
      </w:pPr>
      <w:r>
        <w:t xml:space="preserve">Implementation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Pseudocode: Map medical findings to SSA Listings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findings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medicalExtractionAgent.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extract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(medicalRecord);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mappings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findings)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applicableListing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ssaListingsDB.</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condition: finding.diagnosis,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severity: finding.severity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mappings.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finding: finding,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listing: applicableListing,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confidenceScore: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(finding, applicableListing),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complianceFlags: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hipaa: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validateHIPAACompliance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gina: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flagGeneticData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ensureAccessibility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mappings;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 Federated Data Integration Layer</w:t>
      </w:r>
    </w:p>
    <w:p>
      <w:pPr>
        <w:pStyle w:val="Heading4"/>
        <w:pStyle w:val="MdHeading4"/>
      </w:pPr>
      <w:r>
        <w:t xml:space="preserve">Data Sources</w:t>
      </w:r>
    </w:p>
    <w:p>
      <w:pPr>
        <w:pStyle w:val="MdParagraph"/>
      </w:pPr>
      <w:r>
        <w:rPr>
          <w:rStyle w:val="MdStrong"/>
          <w:b/>
          <w:bCs/>
        </w:rPr>
        <w:t xml:space="preserve">Legal Precedents (PACER/CourtListener)</w:t>
      </w:r>
    </w:p>
    <w:p>
      <w:pPr>
        <w:pStyle w:val="MdListItem"/>
        <w:numPr>
          <w:ilvl w:val="0"/>
          <w:numId w:val="2"/>
        </w:numPr>
      </w:pPr>
      <w:r>
        <w:t xml:space="preserve">Federal court opinions on disability claims</w:t>
      </w:r>
    </w:p>
    <w:p>
      <w:pPr>
        <w:pStyle w:val="MdListItem"/>
        <w:numPr>
          <w:ilvl w:val="0"/>
          <w:numId w:val="2"/>
        </w:numPr>
      </w:pPr>
      <w:r>
        <w:t xml:space="preserve">Case citations and judicial reasoning</w:t>
      </w:r>
    </w:p>
    <w:p>
      <w:pPr>
        <w:pStyle w:val="MdListItem"/>
        <w:numPr>
          <w:ilvl w:val="0"/>
          <w:numId w:val="2"/>
        </w:numPr>
      </w:pPr>
      <w:r>
        <w:t xml:space="preserve">Precedent strength scoring (circuit split detection)</w:t>
      </w:r>
    </w:p>
    <w:p>
      <w:pPr>
        <w:pStyle w:val="MdSpace"/>
        <w:spacing w:before="0" w:after="60"/>
      </w:pPr>
    </w:p>
    <w:p>
      <w:pPr>
        <w:pStyle w:val="MdParagraph"/>
      </w:pPr>
      <w:r>
        <w:rPr>
          <w:rStyle w:val="MdStrong"/>
          <w:b/>
          <w:bCs/>
        </w:rPr>
        <w:t xml:space="preserve">Biomedical Research (PubMed)</w:t>
      </w:r>
    </w:p>
    <w:p>
      <w:pPr>
        <w:pStyle w:val="MdListItem"/>
        <w:numPr>
          <w:ilvl w:val="0"/>
          <w:numId w:val="2"/>
        </w:numPr>
      </w:pPr>
      <w:r>
        <w:t xml:space="preserve">GWAS studies and polygenic risk scores</w:t>
      </w:r>
    </w:p>
    <w:p>
      <w:pPr>
        <w:pStyle w:val="MdListItem"/>
        <w:numPr>
          <w:ilvl w:val="0"/>
          <w:numId w:val="2"/>
        </w:numPr>
      </w:pPr>
      <w:r>
        <w:t xml:space="preserve">Clinical trial data and treatment guidelines</w:t>
      </w:r>
    </w:p>
    <w:p>
      <w:pPr>
        <w:pStyle w:val="MdListItem"/>
        <w:numPr>
          <w:ilvl w:val="0"/>
          <w:numId w:val="2"/>
        </w:numPr>
      </w:pPr>
      <w:r>
        <w:t xml:space="preserve">Publication recency and impact weighting</w:t>
      </w:r>
    </w:p>
    <w:p>
      <w:pPr>
        <w:pStyle w:val="MdSpace"/>
        <w:spacing w:before="0" w:after="60"/>
      </w:pPr>
    </w:p>
    <w:p>
      <w:pPr>
        <w:pStyle w:val="MdParagraph"/>
      </w:pPr>
      <w:r>
        <w:rPr>
          <w:rStyle w:val="MdStrong"/>
          <w:b/>
          <w:bCs/>
        </w:rPr>
        <w:t xml:space="preserve">Scholarly Citations (ScholarPK)</w:t>
      </w:r>
    </w:p>
    <w:p>
      <w:pPr>
        <w:pStyle w:val="MdListItem"/>
        <w:numPr>
          <w:ilvl w:val="0"/>
          <w:numId w:val="2"/>
        </w:numPr>
      </w:pPr>
      <w:r>
        <w:t xml:space="preserve">Citation graph traversal</w:t>
      </w:r>
    </w:p>
    <w:p>
      <w:pPr>
        <w:pStyle w:val="MdListItem"/>
        <w:numPr>
          <w:ilvl w:val="0"/>
          <w:numId w:val="2"/>
        </w:numPr>
      </w:pPr>
      <w:r>
        <w:t xml:space="preserve">Author influence scoring</w:t>
      </w:r>
    </w:p>
    <w:p>
      <w:pPr>
        <w:pStyle w:val="MdListItem"/>
        <w:numPr>
          <w:ilvl w:val="0"/>
          <w:numId w:val="2"/>
        </w:numPr>
      </w:pPr>
      <w:r>
        <w:t xml:space="preserve">Cross-database reconciliation (PubMed ↔ arXiv ↔ Semantic Scholar)</w:t>
      </w:r>
    </w:p>
    <w:p>
      <w:pPr>
        <w:pStyle w:val="MdSpace"/>
        <w:spacing w:before="0" w:after="60"/>
      </w:pPr>
    </w:p>
    <w:p>
      <w:pPr>
        <w:pStyle w:val="Heading4"/>
        <w:pStyle w:val="MdHeading4"/>
      </w:pPr>
      <w:r>
        <w:t xml:space="preserve">Integration 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FEDERATED DATA INTEGRATION LAYER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PACER API    │  │ PubMed API   │  │ ScholarPK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(Legal)      │  │ (Biomedical) │  │ (Citations)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API Normalization Layer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(Schema Harmonization)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Evidence Fusion Engine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(Cross-Domain Linking)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Semantic Evidence Trace (SET)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(SHA3-256 + DOI + Case IDs)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4"/>
        <w:pStyle w:val="MdHeading4"/>
      </w:pPr>
      <w:r>
        <w:t xml:space="preserve">API Integration Details</w:t>
      </w:r>
    </w:p>
    <w:p>
      <w:pPr>
        <w:pStyle w:val="MdParagraph"/>
      </w:pPr>
      <w:r>
        <w:rPr>
          <w:rStyle w:val="MdStrong"/>
          <w:b/>
          <w:bCs/>
        </w:rPr>
        <w:t xml:space="preserve">PACER Integration</w:t>
      </w:r>
    </w:p>
    <w:p>
      <w:pPr>
        <w:pStyle w:val="MdListItem"/>
        <w:numPr>
          <w:ilvl w:val="0"/>
          <w:numId w:val="2"/>
        </w:numPr>
      </w:pPr>
      <w:r>
        <w:t xml:space="preserve">Access via CourtListener/RECAP (compliant with terms of service)</w:t>
      </w:r>
    </w:p>
    <w:p>
      <w:pPr>
        <w:pStyle w:val="MdListItem"/>
        <w:numPr>
          <w:ilvl w:val="0"/>
          <w:numId w:val="2"/>
        </w:numPr>
      </w:pPr>
      <w:r>
        <w:t xml:space="preserve">Extract: Case numbers, filing timestamps, judicial opinions, parties, claims</w:t>
      </w:r>
    </w:p>
    <w:p>
      <w:pPr>
        <w:pStyle w:val="MdListItem"/>
        <w:numPr>
          <w:ilvl w:val="0"/>
          <w:numId w:val="2"/>
        </w:numPr>
      </w:pPr>
      <w:r>
        <w:t xml:space="preserve">Map to: Legal Evidence Objects → SSA Listings relevance → SET ledger</w:t>
      </w:r>
    </w:p>
    <w:p>
      <w:pPr>
        <w:pStyle w:val="MdSpace"/>
        <w:spacing w:before="0" w:after="60"/>
      </w:pPr>
    </w:p>
    <w:p>
      <w:pPr>
        <w:pStyle w:val="MdParagraph"/>
      </w:pPr>
      <w:r>
        <w:rPr>
          <w:rStyle w:val="MdStrong"/>
          <w:b/>
          <w:bCs/>
        </w:rPr>
        <w:t xml:space="preserve">PubMed Integration</w:t>
      </w:r>
    </w:p>
    <w:p>
      <w:pPr>
        <w:pStyle w:val="MdListItem"/>
        <w:numPr>
          <w:ilvl w:val="0"/>
          <w:numId w:val="2"/>
        </w:numPr>
      </w:pPr>
      <w:r>
        <w:t xml:space="preserve">Query E-utilities API for GWAS and PRS publications</w:t>
      </w:r>
    </w:p>
    <w:p>
      <w:pPr>
        <w:pStyle w:val="MdListItem"/>
        <w:numPr>
          <w:ilvl w:val="0"/>
          <w:numId w:val="2"/>
        </w:numPr>
      </w:pPr>
      <w:r>
        <w:t xml:space="preserve">Extract: Effect sizes, study design, publication metadata</w:t>
      </w:r>
    </w:p>
    <w:p>
      <w:pPr>
        <w:pStyle w:val="MdListItem"/>
        <w:numPr>
          <w:ilvl w:val="0"/>
          <w:numId w:val="2"/>
        </w:numPr>
      </w:pPr>
      <w:r>
        <w:t xml:space="preserve">Link to: Polygenic risk score recalibration → Research weighting engine</w:t>
      </w:r>
    </w:p>
    <w:p>
      <w:pPr>
        <w:pStyle w:val="MdSpace"/>
        <w:spacing w:before="0" w:after="60"/>
      </w:pPr>
    </w:p>
    <w:p>
      <w:pPr>
        <w:pStyle w:val="MdParagraph"/>
      </w:pPr>
      <w:r>
        <w:rPr>
          <w:rStyle w:val="MdStrong"/>
          <w:b/>
          <w:bCs/>
        </w:rPr>
        <w:t xml:space="preserve">ScholarPK Integration</w:t>
      </w:r>
    </w:p>
    <w:p>
      <w:pPr>
        <w:pStyle w:val="MdListItem"/>
        <w:numPr>
          <w:ilvl w:val="0"/>
          <w:numId w:val="2"/>
        </w:numPr>
      </w:pPr>
      <w:r>
        <w:t xml:space="preserve">Traverse citation graph for related papers</w:t>
      </w:r>
    </w:p>
    <w:p>
      <w:pPr>
        <w:pStyle w:val="MdListItem"/>
        <w:numPr>
          <w:ilvl w:val="0"/>
          <w:numId w:val="2"/>
        </w:numPr>
      </w:pPr>
      <w:r>
        <w:t xml:space="preserve">Score: Author influence, citation velocity, replication studies</w:t>
      </w:r>
    </w:p>
    <w:p>
      <w:pPr>
        <w:pStyle w:val="MdListItem"/>
        <w:numPr>
          <w:ilvl w:val="0"/>
          <w:numId w:val="2"/>
        </w:numPr>
      </w:pPr>
      <w:r>
        <w:t xml:space="preserve">Adjust: Research weighting multipliers based on scholarly impact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6. Synthetic Genomic Data Generation</w:t>
      </w:r>
    </w:p>
    <w:p>
      <w:pPr>
        <w:pStyle w:val="Heading4"/>
        <w:pStyle w:val="MdHeading4"/>
      </w:pPr>
      <w:r>
        <w:t xml:space="preserve">Purpose</w:t>
      </w:r>
    </w:p>
    <w:p>
      <w:pPr>
        <w:pStyle w:val="MdParagraph"/>
      </w:pPr>
      <w:r>
        <w:t xml:space="preserve">Generate privacy-preserving synthetic genomic datasets for:</w:t>
      </w:r>
    </w:p>
    <w:p>
      <w:pPr>
        <w:pStyle w:val="MdListItem"/>
        <w:numPr>
          <w:ilvl w:val="0"/>
          <w:numId w:val="2"/>
        </w:numPr>
      </w:pPr>
      <w:r>
        <w:t xml:space="preserve">Model training and validation</w:t>
      </w:r>
    </w:p>
    <w:p>
      <w:pPr>
        <w:pStyle w:val="MdListItem"/>
        <w:numPr>
          <w:ilvl w:val="0"/>
          <w:numId w:val="2"/>
        </w:numPr>
      </w:pPr>
      <w:r>
        <w:t xml:space="preserve">Regulatory testing and compliance verification</w:t>
      </w:r>
    </w:p>
    <w:p>
      <w:pPr>
        <w:pStyle w:val="MdListItem"/>
        <w:numPr>
          <w:ilvl w:val="0"/>
          <w:numId w:val="2"/>
        </w:numPr>
      </w:pPr>
      <w:r>
        <w:t xml:space="preserve">Research without exposure to identifiable data</w:t>
      </w:r>
    </w:p>
    <w:p>
      <w:pPr>
        <w:pStyle w:val="MdSpace"/>
        <w:spacing w:before="0" w:after="60"/>
      </w:pPr>
    </w:p>
    <w:p>
      <w:pPr>
        <w:pStyle w:val="Heading4"/>
        <w:pStyle w:val="MdHeading4"/>
      </w:pPr>
      <w:r>
        <w:t xml:space="preserve">Modalities</w:t>
      </w:r>
    </w:p>
    <w:p>
      <w:pPr>
        <w:pStyle w:val="MdParagraph"/>
      </w:pPr>
      <w:r>
        <w:rPr>
          <w:rStyle w:val="MdStrong"/>
          <w:b/>
          <w:bCs/>
        </w:rPr>
        <w:t xml:space="preserve">Tabular Data (Genotype-Phenotype)</w:t>
      </w:r>
    </w:p>
    <w:p>
      <w:pPr>
        <w:pStyle w:val="MdListItem"/>
        <w:numPr>
          <w:ilvl w:val="0"/>
          <w:numId w:val="2"/>
        </w:numPr>
      </w:pPr>
      <w:r>
        <w:t xml:space="preserve">Technology: CTGAN (Conditional Tabular GAN) via SDV framework</w:t>
      </w:r>
    </w:p>
    <w:p>
      <w:pPr>
        <w:pStyle w:val="MdListItem"/>
        <w:numPr>
          <w:ilvl w:val="0"/>
          <w:numId w:val="2"/>
        </w:numPr>
      </w:pPr>
      <w:r>
        <w:t xml:space="preserve">Generates: Synthetic records with realistic genotype markers, phenotypic labels, demographic covariates</w:t>
      </w:r>
    </w:p>
    <w:p>
      <w:pPr>
        <w:pStyle w:val="MdListItem"/>
        <w:numPr>
          <w:ilvl w:val="0"/>
          <w:numId w:val="2"/>
        </w:numPr>
      </w:pPr>
      <w:r>
        <w:t xml:space="preserve">Validation: SDMetrics for distributional fidelity and overfitting resistance</w:t>
      </w:r>
    </w:p>
    <w:p>
      <w:pPr>
        <w:pStyle w:val="MdSpace"/>
        <w:spacing w:before="0" w:after="60"/>
      </w:pPr>
    </w:p>
    <w:p>
      <w:pPr>
        <w:pStyle w:val="MdParagraph"/>
      </w:pPr>
      <w:r>
        <w:rPr>
          <w:rStyle w:val="MdStrong"/>
          <w:b/>
          <w:bCs/>
        </w:rPr>
        <w:t xml:space="preserve">Sequence Data (FASTA/FASTQ)</w:t>
      </w:r>
    </w:p>
    <w:p>
      <w:pPr>
        <w:pStyle w:val="MdListItem"/>
        <w:numPr>
          <w:ilvl w:val="0"/>
          <w:numId w:val="2"/>
        </w:numPr>
      </w:pPr>
      <w:r>
        <w:t xml:space="preserve">Technology: Biopython-based sequence constructors</w:t>
      </w:r>
    </w:p>
    <w:p>
      <w:pPr>
        <w:pStyle w:val="MdListItem"/>
        <w:numPr>
          <w:ilvl w:val="0"/>
          <w:numId w:val="2"/>
        </w:numPr>
      </w:pPr>
      <w:r>
        <w:t xml:space="preserve">Generates: Synthetic reads with realistic GC-content, read lengths, base quality profiles</w:t>
      </w:r>
    </w:p>
    <w:p>
      <w:pPr>
        <w:pStyle w:val="MdListItem"/>
        <w:numPr>
          <w:ilvl w:val="0"/>
          <w:numId w:val="2"/>
        </w:numPr>
      </w:pPr>
      <w:r>
        <w:t xml:space="preserve">Use Case: Downstream ML model testing without identifiable genomic data</w:t>
      </w:r>
    </w:p>
    <w:p>
      <w:pPr>
        <w:pStyle w:val="MdSpace"/>
        <w:spacing w:before="0" w:after="60"/>
      </w:pPr>
    </w:p>
    <w:p>
      <w:pPr>
        <w:pStyle w:val="Heading4"/>
        <w:pStyle w:val="MdHeading4"/>
      </w:pPr>
      <w:r>
        <w:t xml:space="preserve">Implementation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Pseudocode: Generate synthetic genomic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sdv.tabular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CTGAN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sdmetrics.reports.diagnostic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DiagnosticReport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Load real genotype-phenotype data (de-identified)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real_data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load_deidentified_data(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"genotypes.csv"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Train CTGAN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CTGAN()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model.fit(real_data)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Generate synthetic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synthetic_data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model.sample(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num_rows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Validate synthetic data quality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report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DiagnosticReport.generate(real_data, synthetic_data)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report.get_score()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Ensure high fidelity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Generate synthetic FASTA sequences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Bio.Seq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Seq</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synthetic_sequences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generate_fasta_sequences(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num_sequences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gc_content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read_length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7. Research-Driven Polygenic Risk Score (PRS) Weighting</w:t>
      </w:r>
    </w:p>
    <w:p>
      <w:pPr>
        <w:pStyle w:val="Heading4"/>
        <w:pStyle w:val="MdHeading4"/>
      </w:pPr>
      <w:r>
        <w:t xml:space="preserve">Dynamic Weighting Engine</w:t>
      </w:r>
    </w:p>
    <w:p>
      <w:pPr>
        <w:pStyle w:val="MdParagraph"/>
      </w:pPr>
      <w:r>
        <w:t xml:space="preserve">The platform automatically queries PubMed to identify recent GWAS and PRS publications, then recalibrates risk scores using:</w:t>
      </w:r>
    </w:p>
    <w:p>
      <w:pPr>
        <w:pStyle w:val="MdSpace"/>
        <w:spacing w:before="0" w:after="60"/>
      </w:pPr>
    </w:p>
    <w:p>
      <w:pPr>
        <w:pStyle w:val="MdListItem"/>
        <w:numPr>
          <w:ilvl w:val="0"/>
          <w:numId w:val="2"/>
        </w:numPr>
      </w:pPr>
      <w:r>
        <w:rPr>
          <w:rStyle w:val="MdStrong"/>
          <w:b/>
          <w:bCs/>
        </w:rPr>
        <w:t xml:space="preserve">Recency weighting</w:t>
      </w:r>
      <w:r>
        <w:t xml:space="preserve">: Recent studies (&lt; 2 years) receive higher multipliers</w:t>
      </w:r>
    </w:p>
    <w:p>
      <w:pPr>
        <w:pStyle w:val="MdListItem"/>
        <w:numPr>
          <w:ilvl w:val="0"/>
          <w:numId w:val="2"/>
        </w:numPr>
      </w:pPr>
      <w:r>
        <w:rPr>
          <w:rStyle w:val="MdStrong"/>
          <w:b/>
          <w:bCs/>
        </w:rPr>
        <w:t xml:space="preserve">Journal impact proxies</w:t>
      </w:r>
      <w:r>
        <w:t xml:space="preserve">: Publications in top-tier journals (Nature, JAMA, Lancet) weighted higher</w:t>
      </w:r>
    </w:p>
    <w:p>
      <w:pPr>
        <w:pStyle w:val="MdListItem"/>
        <w:numPr>
          <w:ilvl w:val="0"/>
          <w:numId w:val="2"/>
        </w:numPr>
      </w:pPr>
      <w:r>
        <w:rPr>
          <w:rStyle w:val="MdStrong"/>
          <w:b/>
          <w:bCs/>
        </w:rPr>
        <w:t xml:space="preserve">Citation velocity</w:t>
      </w:r>
      <w:r>
        <w:t xml:space="preserve">: Rapidly cited papers indicate emerging evidence</w:t>
      </w:r>
    </w:p>
    <w:p>
      <w:pPr>
        <w:pStyle w:val="MdListItem"/>
        <w:numPr>
          <w:ilvl w:val="0"/>
          <w:numId w:val="2"/>
        </w:numPr>
      </w:pPr>
      <w:r>
        <w:rPr>
          <w:rStyle w:val="MdStrong"/>
          <w:b/>
          <w:bCs/>
        </w:rPr>
        <w:t xml:space="preserve">Study design classification</w:t>
      </w:r>
      <w:r>
        <w:t xml:space="preserve">: Meta-analyses and replication cohorts weighted higher than discovery GWAS</w:t>
      </w:r>
    </w:p>
    <w:p>
      <w:pPr>
        <w:pStyle w:val="MdSpace"/>
        <w:spacing w:before="0" w:after="60"/>
      </w:pPr>
    </w:p>
    <w:p>
      <w:pPr>
        <w:pStyle w:val="Heading4"/>
        <w:pStyle w:val="MdHeading4"/>
      </w:pPr>
      <w:r>
        <w:t xml:space="preserve">Weight Calculation</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Adjusted Weight = Baseline Effect Size × Research Confidence Multiplier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Research Confidence Multiplier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(Recency Factor × 0.3)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(Journal Impact Factor × 0.3)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(Citation Velocity × 0.2) +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(Study Design Score × 0.2)</w:t>
      </w:r>
    </w:p>
    <w:p>
      <w:pPr>
        <w:pStyle w:val="MdSpace"/>
        <w:spacing w:before="0" w:after="60"/>
      </w:pPr>
    </w:p>
    <w:p>
      <w:pPr>
        <w:pStyle w:val="Heading4"/>
        <w:pStyle w:val="MdHeading4"/>
      </w:pPr>
      <w:r>
        <w:t xml:space="preserve">Implementation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Pseudocode: Dynamic PRS weighting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recalibratePRSWeights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phenotype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Promise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SNP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Query PubMed for recent publications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pubmedAPI.</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search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`GWAS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phenotype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polygenic risk 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sort: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"publication_date"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limit: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weights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SNP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publications)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Extract effect sizes and SNPs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snps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parseGWASTable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(pub.fullText);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Calculate research confidence multiplier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recencyFactor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calculateRecencyFactor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(pub.publicationDate);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journalImpact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getJournalImpactFactor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(pub.journal);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citationVelocity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getCitationVelocity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(pub.doi);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studyDesignScore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scoreStudyDesign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(pub.studyType);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multiplier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(recencyFactor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(journalImpact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(citationVelocity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(studyDesignScore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Update weights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snp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snps)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adjustedWeight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snp.baselineEffectSize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multiplier;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(snp.id, adjustedWeight);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Hash publication DOI into SET ledger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semanticEvidenceTrace.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doi: pub.doi,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hash: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sha3256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(pub.doi),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snpId: snp.id,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 adjustedWeight,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Date.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8. Semantic Evidence Trace (SET) Ledger</w:t>
      </w:r>
    </w:p>
    <w:p>
      <w:pPr>
        <w:pStyle w:val="Heading4"/>
        <w:pStyle w:val="MdHeading4"/>
      </w:pPr>
      <w:r>
        <w:t xml:space="preserve">Purpose</w:t>
      </w:r>
    </w:p>
    <w:p>
      <w:pPr>
        <w:pStyle w:val="MdParagraph"/>
      </w:pPr>
      <w:r>
        <w:t xml:space="preserve">Create an immutable, auditable chain linking every risk score and finding to verifiable scientific literature.</w:t>
      </w:r>
    </w:p>
    <w:p>
      <w:pPr>
        <w:pStyle w:val="MdSpace"/>
        <w:spacing w:before="0" w:after="60"/>
      </w:pPr>
    </w:p>
    <w:p>
      <w:pPr>
        <w:pStyle w:val="Heading4"/>
        <w:pStyle w:val="MdHeading4"/>
      </w:pPr>
      <w:r>
        <w:t xml:space="preserve">Data Structure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"evidenceId"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"SET-2026-04-02-001"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"2026-04-02T11:15:37Z"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"evidenceType"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"genomic_finding"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"snpId"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"rs1234567"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"riskAllele"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"riskScore"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"phenotype"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"chronic_kidney_disease"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"supportingLiterature"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"10.1038/ng.3945"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"Genome-wide association study of chronic kidney disease"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"Smith J"</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"Doe 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"publicationDate"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"2023-06-15"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"doiHash"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"sha3-256-hash-of-doi"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"citationCount"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245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"legalPrecedents"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"caseNumber"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"2023-CV-12345"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"court"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"Federal Circuit"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"citation"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"Smith v. SSA, 2023 F.3d 456"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"relevance"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"Establishes precedent for genetic evidence in disability claims"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"caseHash"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"sha3-256-hash-of-case-id"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"regulatoryCompliance"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"hipaa"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"gina"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"flagged_genetic_data"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"wcag_2_1_aa_compliant"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"sha3-256-hash-of-entire-record"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"signature"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"dilithium-iii-signature-of-set-hash"</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Audit Trail Benefits</w:t>
      </w:r>
    </w:p>
    <w:p>
      <w:pPr>
        <w:pStyle w:val="MdListItem"/>
        <w:numPr>
          <w:ilvl w:val="0"/>
          <w:numId w:val="2"/>
        </w:numPr>
      </w:pPr>
      <w:r>
        <w:rPr>
          <w:rStyle w:val="MdStrong"/>
          <w:b/>
          <w:bCs/>
        </w:rPr>
        <w:t xml:space="preserve">Non-repudiation</w:t>
      </w:r>
      <w:r>
        <w:t xml:space="preserve">: Digital signatures prove evidence authenticity</w:t>
      </w:r>
    </w:p>
    <w:p>
      <w:pPr>
        <w:pStyle w:val="MdListItem"/>
        <w:numPr>
          <w:ilvl w:val="0"/>
          <w:numId w:val="2"/>
        </w:numPr>
      </w:pPr>
      <w:r>
        <w:rPr>
          <w:rStyle w:val="MdStrong"/>
          <w:b/>
          <w:bCs/>
        </w:rPr>
        <w:t xml:space="preserve">Traceability</w:t>
      </w:r>
      <w:r>
        <w:t xml:space="preserve">: Every finding linked to source literature and legal precedent</w:t>
      </w:r>
    </w:p>
    <w:p>
      <w:pPr>
        <w:pStyle w:val="MdListItem"/>
        <w:numPr>
          <w:ilvl w:val="0"/>
          <w:numId w:val="2"/>
        </w:numPr>
      </w:pPr>
      <w:r>
        <w:rPr>
          <w:rStyle w:val="MdStrong"/>
          <w:b/>
          <w:bCs/>
        </w:rPr>
        <w:t xml:space="preserve">Reproducibility</w:t>
      </w:r>
      <w:r>
        <w:t xml:space="preserve">: Exact weights and algorithms documented for peer review</w:t>
      </w:r>
    </w:p>
    <w:p>
      <w:pPr>
        <w:pStyle w:val="MdListItem"/>
        <w:numPr>
          <w:ilvl w:val="0"/>
          <w:numId w:val="2"/>
        </w:numPr>
      </w:pPr>
      <w:r>
        <w:rPr>
          <w:rStyle w:val="MdStrong"/>
          <w:b/>
          <w:bCs/>
        </w:rPr>
        <w:t xml:space="preserve">Regulatory Compliance</w:t>
      </w:r>
      <w:r>
        <w:t xml:space="preserve">: Audit logs satisfy SSR 16-4p evidentiary standards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9. Case Management Dashboard</w:t>
      </w:r>
    </w:p>
    <w:p>
      <w:pPr>
        <w:pStyle w:val="Heading4"/>
        <w:pStyle w:val="MdHeading4"/>
      </w:pPr>
      <w:r>
        <w:t xml:space="preserve">Key Features</w:t>
      </w:r>
    </w:p>
    <w:p>
      <w:pPr>
        <w:pStyle w:val="MdParagraph"/>
      </w:pPr>
      <w:r>
        <w:rPr>
          <w:rStyle w:val="MdStrong"/>
          <w:b/>
          <w:bCs/>
        </w:rPr>
        <w:t xml:space="preserve">Case Overview</w:t>
      </w:r>
    </w:p>
    <w:p>
      <w:pPr>
        <w:pStyle w:val="MdListItem"/>
        <w:numPr>
          <w:ilvl w:val="0"/>
          <w:numId w:val="2"/>
        </w:numPr>
      </w:pPr>
      <w:r>
        <w:t xml:space="preserve">Patient demographics and claim status</w:t>
      </w:r>
    </w:p>
    <w:p>
      <w:pPr>
        <w:pStyle w:val="MdListItem"/>
        <w:numPr>
          <w:ilvl w:val="0"/>
          <w:numId w:val="2"/>
        </w:numPr>
      </w:pPr>
      <w:r>
        <w:t xml:space="preserve">Timeline of medical events (diagnoses, medications, hospitalizations)</w:t>
      </w:r>
    </w:p>
    <w:p>
      <w:pPr>
        <w:pStyle w:val="MdListItem"/>
        <w:numPr>
          <w:ilvl w:val="0"/>
          <w:numId w:val="2"/>
        </w:numPr>
      </w:pPr>
      <w:r>
        <w:t xml:space="preserve">Current functional limitations vs. SSA Listing requirements</w:t>
      </w:r>
    </w:p>
    <w:p>
      <w:pPr>
        <w:pStyle w:val="MdListItem"/>
        <w:numPr>
          <w:ilvl w:val="0"/>
          <w:numId w:val="2"/>
        </w:numPr>
      </w:pPr>
      <w:r>
        <w:t xml:space="preserve">Evidence completeness score (% of required documentation)</w:t>
      </w:r>
    </w:p>
    <w:p>
      <w:pPr>
        <w:pStyle w:val="MdSpace"/>
        <w:spacing w:before="0" w:after="60"/>
      </w:pPr>
    </w:p>
    <w:p>
      <w:pPr>
        <w:pStyle w:val="MdParagraph"/>
      </w:pPr>
      <w:r>
        <w:rPr>
          <w:rStyle w:val="MdStrong"/>
          <w:b/>
          <w:bCs/>
        </w:rPr>
        <w:t xml:space="preserve">Evidence Management</w:t>
      </w:r>
    </w:p>
    <w:p>
      <w:pPr>
        <w:pStyle w:val="MdListItem"/>
        <w:numPr>
          <w:ilvl w:val="0"/>
          <w:numId w:val="2"/>
        </w:numPr>
      </w:pPr>
      <w:r>
        <w:t xml:space="preserve">Uploaded documents with OCR-extracted text</w:t>
      </w:r>
    </w:p>
    <w:p>
      <w:pPr>
        <w:pStyle w:val="MdListItem"/>
        <w:numPr>
          <w:ilvl w:val="0"/>
          <w:numId w:val="2"/>
        </w:numPr>
      </w:pPr>
      <w:r>
        <w:t xml:space="preserve">Extracted medical findings with confidence scores</w:t>
      </w:r>
    </w:p>
    <w:p>
      <w:pPr>
        <w:pStyle w:val="MdListItem"/>
        <w:numPr>
          <w:ilvl w:val="0"/>
          <w:numId w:val="2"/>
        </w:numPr>
      </w:pPr>
      <w:r>
        <w:t xml:space="preserve">SSA Listings crosswalk with evidence gaps</w:t>
      </w:r>
    </w:p>
    <w:p>
      <w:pPr>
        <w:pStyle w:val="MdListItem"/>
        <w:numPr>
          <w:ilvl w:val="0"/>
          <w:numId w:val="2"/>
        </w:numPr>
      </w:pPr>
      <w:r>
        <w:t xml:space="preserve">Legal precedent linkage and citation strength</w:t>
      </w:r>
    </w:p>
    <w:p>
      <w:pPr>
        <w:pStyle w:val="MdSpace"/>
        <w:spacing w:before="0" w:after="60"/>
      </w:pPr>
    </w:p>
    <w:p>
      <w:pPr>
        <w:pStyle w:val="MdParagraph"/>
      </w:pPr>
      <w:r>
        <w:rPr>
          <w:rStyle w:val="MdStrong"/>
          <w:b/>
          <w:bCs/>
        </w:rPr>
        <w:t xml:space="preserve">Workflow Tracking</w:t>
      </w:r>
    </w:p>
    <w:p>
      <w:pPr>
        <w:pStyle w:val="MdListItem"/>
        <w:numPr>
          <w:ilvl w:val="0"/>
          <w:numId w:val="2"/>
        </w:numPr>
      </w:pPr>
      <w:r>
        <w:t xml:space="preserve">Multi-agent processing status (ingestion → analysis → synthesis → audit)</w:t>
      </w:r>
    </w:p>
    <w:p>
      <w:pPr>
        <w:pStyle w:val="MdListItem"/>
        <w:numPr>
          <w:ilvl w:val="0"/>
          <w:numId w:val="2"/>
        </w:numPr>
      </w:pPr>
      <w:r>
        <w:t xml:space="preserve">Error logs and manual intervention points</w:t>
      </w:r>
    </w:p>
    <w:p>
      <w:pPr>
        <w:pStyle w:val="MdListItem"/>
        <w:numPr>
          <w:ilvl w:val="0"/>
          <w:numId w:val="2"/>
        </w:numPr>
      </w:pPr>
      <w:r>
        <w:t xml:space="preserve">Approval workflows for legal brief generation</w:t>
      </w:r>
    </w:p>
    <w:p>
      <w:pPr>
        <w:pStyle w:val="MdListItem"/>
        <w:numPr>
          <w:ilvl w:val="0"/>
          <w:numId w:val="2"/>
        </w:numPr>
      </w:pPr>
      <w:r>
        <w:t xml:space="preserve">Audit trail with timestamps and user actions</w:t>
      </w:r>
    </w:p>
    <w:p>
      <w:pPr>
        <w:pStyle w:val="MdSpace"/>
        <w:spacing w:before="0" w:after="60"/>
      </w:pPr>
    </w:p>
    <w:p>
      <w:pPr>
        <w:pStyle w:val="MdParagraph"/>
      </w:pPr>
      <w:r>
        <w:rPr>
          <w:rStyle w:val="MdStrong"/>
          <w:b/>
          <w:bCs/>
        </w:rPr>
        <w:t xml:space="preserve">Regulatory Compliance Dashboard</w:t>
      </w:r>
    </w:p>
    <w:p>
      <w:pPr>
        <w:pStyle w:val="MdListItem"/>
        <w:numPr>
          <w:ilvl w:val="0"/>
          <w:numId w:val="2"/>
        </w:numPr>
      </w:pPr>
      <w:r>
        <w:t xml:space="preserve">HIPAA compliance checklist</w:t>
      </w:r>
    </w:p>
    <w:p>
      <w:pPr>
        <w:pStyle w:val="MdListItem"/>
        <w:numPr>
          <w:ilvl w:val="0"/>
          <w:numId w:val="2"/>
        </w:numPr>
      </w:pPr>
      <w:r>
        <w:t xml:space="preserve">GINA genetic data flagging</w:t>
      </w:r>
    </w:p>
    <w:p>
      <w:pPr>
        <w:pStyle w:val="MdListItem"/>
        <w:numPr>
          <w:ilvl w:val="0"/>
          <w:numId w:val="2"/>
        </w:numPr>
      </w:pPr>
      <w:r>
        <w:t xml:space="preserve">ADA accessibility validation</w:t>
      </w:r>
    </w:p>
    <w:p>
      <w:pPr>
        <w:pStyle w:val="MdListItem"/>
        <w:numPr>
          <w:ilvl w:val="0"/>
          <w:numId w:val="2"/>
        </w:numPr>
      </w:pPr>
      <w:r>
        <w:t xml:space="preserve">SSR 16-4p evidentiary standards checklist</w:t>
      </w:r>
    </w:p>
    <w:p>
      <w:pPr>
        <w:pStyle w:val="MdSpace"/>
        <w:spacing w:before="0" w:after="60"/>
      </w:pPr>
    </w:p>
    <w:p>
      <w:pPr>
        <w:pStyle w:val="Heading4"/>
        <w:pStyle w:val="MdHeading4"/>
      </w:pPr>
      <w:r>
        <w:t xml:space="preserve">UI Components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Component</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Case Summary Card</w:t>
            </w:r>
          </w:p>
        </w:tc>
        <w:tc>
          <w:tcPr>
            <w:tcBorders>
              <w:right w:val="none"/>
            </w:tcBorders>
            <w:tcMar>
              <w:top w:type="dxa" w:w="80"/>
              <w:left w:type="dxa" w:w="120"/>
              <w:bottom w:type="dxa" w:w="80"/>
              <w:right w:type="dxa" w:w="120"/>
            </w:tcMar>
            <w:vAlign w:val="center"/>
          </w:tcPr>
          <w:p>
            <w:pPr>
              <w:pStyle w:val="MdTableCell"/>
            </w:pPr>
            <w:r>
              <w:t xml:space="preserve">Quick overview of claim status and key findings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Evidence Timeline</w:t>
            </w:r>
          </w:p>
        </w:tc>
        <w:tc>
          <w:tcPr>
            <w:tcBorders>
              <w:right w:val="none"/>
            </w:tcBorders>
            <w:tcMar>
              <w:top w:type="dxa" w:w="80"/>
              <w:left w:type="dxa" w:w="120"/>
              <w:bottom w:type="dxa" w:w="80"/>
              <w:right w:type="dxa" w:w="120"/>
            </w:tcMar>
            <w:vAlign w:val="center"/>
          </w:tcPr>
          <w:p>
            <w:pPr>
              <w:pStyle w:val="MdTableCell"/>
            </w:pPr>
            <w:r>
              <w:t xml:space="preserve">Chronological view of medical events and documents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Listings Crosswalk Table</w:t>
            </w:r>
          </w:p>
        </w:tc>
        <w:tc>
          <w:tcPr>
            <w:tcBorders>
              <w:right w:val="none"/>
            </w:tcBorders>
            <w:tcMar>
              <w:top w:type="dxa" w:w="80"/>
              <w:left w:type="dxa" w:w="120"/>
              <w:bottom w:type="dxa" w:w="80"/>
              <w:right w:type="dxa" w:w="120"/>
            </w:tcMar>
            <w:vAlign w:val="center"/>
          </w:tcPr>
          <w:p>
            <w:pPr>
              <w:pStyle w:val="MdTableCell"/>
            </w:pPr>
            <w:r>
              <w:t xml:space="preserve">Medical findings mapped to SSA Listings with evidence gaps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Multi-Agent Workflow Monitor</w:t>
            </w:r>
          </w:p>
        </w:tc>
        <w:tc>
          <w:tcPr>
            <w:tcBorders>
              <w:right w:val="none"/>
            </w:tcBorders>
            <w:tcMar>
              <w:top w:type="dxa" w:w="80"/>
              <w:left w:type="dxa" w:w="120"/>
              <w:bottom w:type="dxa" w:w="80"/>
              <w:right w:type="dxa" w:w="120"/>
            </w:tcMar>
            <w:vAlign w:val="center"/>
          </w:tcPr>
          <w:p>
            <w:pPr>
              <w:pStyle w:val="MdTableCell"/>
            </w:pPr>
            <w:r>
              <w:t xml:space="preserve">Real-time status of AI agents processing the case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Legal Brief Viewer</w:t>
            </w:r>
          </w:p>
        </w:tc>
        <w:tc>
          <w:tcPr>
            <w:tcBorders>
              <w:right w:val="none"/>
            </w:tcBorders>
            <w:tcMar>
              <w:top w:type="dxa" w:w="80"/>
              <w:left w:type="dxa" w:w="120"/>
              <w:bottom w:type="dxa" w:w="80"/>
              <w:right w:type="dxa" w:w="120"/>
            </w:tcMar>
            <w:vAlign w:val="center"/>
          </w:tcPr>
          <w:p>
            <w:pPr>
              <w:pStyle w:val="MdTableCell"/>
            </w:pPr>
            <w:r>
              <w:t xml:space="preserve">Rendered brief with embedded citations and audit trail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Compliance Checklist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Interactive compliance validation for HIPAA, GINA, ADA</w:t>
            </w:r>
          </w:p>
        </w:tc>
      </w:tr>
    </w:tbl>
    <w:p>
      <w:pPr>
        <w:pStyle w:val="MdHr"/>
        <w:pBdr>
          <w:bottom w:val="single" w:color="auto" w:sz="6" w:space="1"/>
        </w:pBdr>
      </w:pPr>
    </w:p>
    <w:p>
      <w:pPr>
        <w:pStyle w:val="MdSpace"/>
        <w:spacing w:before="0" w:after="60"/>
      </w:pPr>
    </w:p>
    <w:p>
      <w:pPr>
        <w:pStyle w:val="Heading3"/>
        <w:pStyle w:val="MdHeading3"/>
      </w:pPr>
      <w:r>
        <w:t xml:space="preserve">10. Secure Document Upload and Processing</w:t>
      </w:r>
    </w:p>
    <w:p>
      <w:pPr>
        <w:pStyle w:val="Heading4"/>
        <w:pStyle w:val="MdHeading4"/>
      </w:pPr>
      <w:r>
        <w:t xml:space="preserve">Upload Pipeline</w:t>
      </w:r>
    </w:p>
    <w:p>
      <w:pPr>
        <w:pStyle w:val="MdListItem"/>
        <w:numPr>
          <w:ilvl w:val="0"/>
          <w:numId w:val="3"/>
        </w:numPr>
      </w:pPr>
      <w:r>
        <w:rPr>
          <w:rStyle w:val="MdStrong"/>
          <w:b/>
          <w:bCs/>
        </w:rPr>
        <w:t xml:space="preserve">Client-Side Validation</w:t>
      </w:r>
    </w:p>
    <w:p>
      <w:pPr>
        <w:pStyle w:val="MdListItem"/>
        <w:numPr>
          <w:ilvl w:val="1"/>
          <w:numId w:val="2"/>
        </w:numPr>
      </w:pPr>
      <w:r>
        <w:t xml:space="preserve">File type whitelist (PDF, DOCX, TXT, TIFF for faxes)</w:t>
      </w:r>
    </w:p>
    <w:p>
      <w:pPr>
        <w:pStyle w:val="MdListItem"/>
        <w:numPr>
          <w:ilvl w:val="1"/>
          <w:numId w:val="2"/>
        </w:numPr>
      </w:pPr>
      <w:r>
        <w:t xml:space="preserve">File size limits (100 MB per document, 1 GB per case)</w:t>
      </w:r>
    </w:p>
    <w:p>
      <w:pPr>
        <w:pStyle w:val="MdListItem"/>
        <w:numPr>
          <w:ilvl w:val="1"/>
          <w:numId w:val="2"/>
        </w:numPr>
      </w:pPr>
      <w:r>
        <w:t xml:space="preserve">Virus scanning (ClamAV or similar)</w:t>
      </w:r>
    </w:p>
    <w:p>
      <w:pPr>
        <w:pStyle w:val="MdListItem"/>
        <w:numPr>
          <w:ilvl w:val="0"/>
          <w:numId w:val="3"/>
        </w:numPr>
      </w:pPr>
      <w:r>
        <w:rPr>
          <w:rStyle w:val="MdStrong"/>
          <w:b/>
          <w:bCs/>
        </w:rPr>
        <w:t xml:space="preserve">Encryption in Transit</w:t>
      </w:r>
    </w:p>
    <w:p>
      <w:pPr>
        <w:pStyle w:val="MdListItem"/>
        <w:numPr>
          <w:ilvl w:val="1"/>
          <w:numId w:val="2"/>
        </w:numPr>
      </w:pPr>
      <w:r>
        <w:t xml:space="preserve">TLS 1.3 for all uploads</w:t>
      </w:r>
    </w:p>
    <w:p>
      <w:pPr>
        <w:pStyle w:val="MdListItem"/>
        <w:numPr>
          <w:ilvl w:val="1"/>
          <w:numId w:val="2"/>
        </w:numPr>
      </w:pPr>
      <w:r>
        <w:t xml:space="preserve">Client-side encryption option (AES-256) before upload</w:t>
      </w:r>
    </w:p>
    <w:p>
      <w:pPr>
        <w:pStyle w:val="MdListItem"/>
        <w:numPr>
          <w:ilvl w:val="0"/>
          <w:numId w:val="3"/>
        </w:numPr>
      </w:pPr>
      <w:r>
        <w:rPr>
          <w:rStyle w:val="MdStrong"/>
          <w:b/>
          <w:bCs/>
        </w:rPr>
        <w:t xml:space="preserve">Server-Side Processing</w:t>
      </w:r>
    </w:p>
    <w:p>
      <w:pPr>
        <w:pStyle w:val="MdListItem"/>
        <w:numPr>
          <w:ilvl w:val="1"/>
          <w:numId w:val="2"/>
        </w:numPr>
      </w:pPr>
      <w:r>
        <w:t xml:space="preserve">Store encrypted in S3 with Kyber-768 key encapsulation</w:t>
      </w:r>
    </w:p>
    <w:p>
      <w:pPr>
        <w:pStyle w:val="MdListItem"/>
        <w:numPr>
          <w:ilvl w:val="1"/>
          <w:numId w:val="2"/>
        </w:numPr>
      </w:pPr>
      <w:r>
        <w:t xml:space="preserve">Extract text with OCR (Tesseract for faxes, PyPDF2 for PDFs)</w:t>
      </w:r>
    </w:p>
    <w:p>
      <w:pPr>
        <w:pStyle w:val="MdListItem"/>
        <w:numPr>
          <w:ilvl w:val="1"/>
          <w:numId w:val="2"/>
        </w:numPr>
      </w:pPr>
      <w:r>
        <w:t xml:space="preserve">Chunk and embed for RAG pipeline</w:t>
      </w:r>
    </w:p>
    <w:p>
      <w:pPr>
        <w:pStyle w:val="MdListItem"/>
        <w:numPr>
          <w:ilvl w:val="1"/>
          <w:numId w:val="2"/>
        </w:numPr>
      </w:pPr>
      <w:r>
        <w:t xml:space="preserve">Generate SHA3-256 hash for SET ledger</w:t>
      </w:r>
    </w:p>
    <w:p>
      <w:pPr>
        <w:pStyle w:val="MdListItem"/>
        <w:numPr>
          <w:ilvl w:val="0"/>
          <w:numId w:val="3"/>
        </w:numPr>
      </w:pPr>
      <w:r>
        <w:rPr>
          <w:rStyle w:val="MdStrong"/>
          <w:b/>
          <w:bCs/>
        </w:rPr>
        <w:t xml:space="preserve">Access Control</w:t>
      </w:r>
    </w:p>
    <w:p>
      <w:pPr>
        <w:pStyle w:val="MdListItem"/>
        <w:numPr>
          <w:ilvl w:val="1"/>
          <w:numId w:val="2"/>
        </w:numPr>
      </w:pPr>
      <w:r>
        <w:t xml:space="preserve">Role-based access (case attorney, medical reviewer, adjudicator)</w:t>
      </w:r>
    </w:p>
    <w:p>
      <w:pPr>
        <w:pStyle w:val="MdListItem"/>
        <w:numPr>
          <w:ilvl w:val="1"/>
          <w:numId w:val="2"/>
        </w:numPr>
      </w:pPr>
      <w:r>
        <w:t xml:space="preserve">Audit logging of all document access</w:t>
      </w:r>
    </w:p>
    <w:p>
      <w:pPr>
        <w:pStyle w:val="MdListItem"/>
        <w:numPr>
          <w:ilvl w:val="1"/>
          <w:numId w:val="2"/>
        </w:numPr>
      </w:pPr>
      <w:r>
        <w:t xml:space="preserve">Time-limited download links (24-hour expiration)</w:t>
      </w:r>
    </w:p>
    <w:p>
      <w:pPr>
        <w:pStyle w:val="MdSpace"/>
        <w:spacing w:before="0" w:after="60"/>
      </w:pPr>
    </w:p>
    <w:p>
      <w:pPr>
        <w:pStyle w:val="Heading4"/>
        <w:pStyle w:val="MdHeading4"/>
      </w:pPr>
      <w:r>
        <w:t xml:space="preserve">Implementation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Pseudocode: Secure document upload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uploadMedicalDocument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caseId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userRole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"attorney"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"medical_reviewer"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"adjudicator"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Promise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DocumentMetadata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Validate 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validateFileType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validateFileSize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scanForViruses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Encrypt 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kyberKeypair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generateKyberKeypair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ciphertext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sharedSecret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kyberEncapsulate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(kyberKeypair.publicKey);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aesKey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hkdf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(sharedSecret,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"document-encryption"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encryptedFile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aesEncrypt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(file, aesKey);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Upload to S3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s3Key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caseId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}/documents/${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nanoid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s3.</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putObject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Bucket: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"medical-records"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Key: s3Key,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Body: encryptedFile,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ServerSideEncryption: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"AES256"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Extract and process 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extractedText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extractTextWithOCR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chunks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splitIntoSemanticChunks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(extractedText);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embeddings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generateEmbeddings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(chunks);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Store metadata and embeddings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documentMetadata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documentId: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nanoid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caseId: caseId,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fileName: file.name,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uploadedBy: userRole,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uploadedAt: Date.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s3Key: s3Key,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kyberCiphertext: ciphertext,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documentHash: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sha3256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extractedText: extractedText,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chunks: chunks.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chunk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chunkId: idx,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chunk,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embedding: embeddings[idx]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Add to SET ledger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semanticEvidenceTrace.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documentId: documentMetadata.documentId,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documentHash: documentMetadata.documentHash,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uploadedBy: userRole,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Date.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Store in database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db.</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(documents).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(documentMetadata);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documentMetadata;</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Database Schema Overview</w:t>
      </w:r>
    </w:p>
    <w:p>
      <w:pPr>
        <w:pStyle w:val="Heading3"/>
        <w:pStyle w:val="MdHeading3"/>
      </w:pPr>
      <w:r>
        <w:t xml:space="preserve">Core Tables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Table</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cases</w:t>
            </w:r>
          </w:p>
        </w:tc>
        <w:tc>
          <w:tcPr>
            <w:tcBorders>
              <w:right w:val="none"/>
            </w:tcBorders>
            <w:tcMar>
              <w:top w:type="dxa" w:w="80"/>
              <w:left w:type="dxa" w:w="120"/>
              <w:bottom w:type="dxa" w:w="80"/>
              <w:right w:type="dxa" w:w="120"/>
            </w:tcMar>
            <w:vAlign w:val="center"/>
          </w:tcPr>
          <w:p>
            <w:pPr>
              <w:pStyle w:val="MdTableCell"/>
            </w:pPr>
            <w:r>
              <w:t xml:space="preserve">Disability claim records with status and metadata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patients</w:t>
            </w:r>
          </w:p>
        </w:tc>
        <w:tc>
          <w:tcPr>
            <w:tcBorders>
              <w:right w:val="none"/>
            </w:tcBorders>
            <w:tcMar>
              <w:top w:type="dxa" w:w="80"/>
              <w:left w:type="dxa" w:w="120"/>
              <w:bottom w:type="dxa" w:w="80"/>
              <w:right w:type="dxa" w:w="120"/>
            </w:tcMar>
            <w:vAlign w:val="center"/>
          </w:tcPr>
          <w:p>
            <w:pPr>
              <w:pStyle w:val="MdTableCell"/>
            </w:pPr>
            <w:r>
              <w:t xml:space="preserve">Patient demographics and contact information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documents</w:t>
            </w:r>
          </w:p>
        </w:tc>
        <w:tc>
          <w:tcPr>
            <w:tcBorders>
              <w:right w:val="none"/>
            </w:tcBorders>
            <w:tcMar>
              <w:top w:type="dxa" w:w="80"/>
              <w:left w:type="dxa" w:w="120"/>
              <w:bottom w:type="dxa" w:w="80"/>
              <w:right w:type="dxa" w:w="120"/>
            </w:tcMar>
            <w:vAlign w:val="center"/>
          </w:tcPr>
          <w:p>
            <w:pPr>
              <w:pStyle w:val="MdTableCell"/>
            </w:pPr>
            <w:r>
              <w:t xml:space="preserve">Uploaded medical records, genomic reports, legal filings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medical_findings</w:t>
            </w:r>
          </w:p>
        </w:tc>
        <w:tc>
          <w:tcPr>
            <w:tcBorders>
              <w:right w:val="none"/>
            </w:tcBorders>
            <w:tcMar>
              <w:top w:type="dxa" w:w="80"/>
              <w:left w:type="dxa" w:w="120"/>
              <w:bottom w:type="dxa" w:w="80"/>
              <w:right w:type="dxa" w:w="120"/>
            </w:tcMar>
            <w:vAlign w:val="center"/>
          </w:tcPr>
          <w:p>
            <w:pPr>
              <w:pStyle w:val="MdTableCell"/>
            </w:pPr>
            <w:r>
              <w:t xml:space="preserve">Extracted medical entities (diagnoses, medications, labs)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ssa_listings_mappings</w:t>
            </w:r>
          </w:p>
        </w:tc>
        <w:tc>
          <w:tcPr>
            <w:tcBorders>
              <w:right w:val="none"/>
            </w:tcBorders>
            <w:tcMar>
              <w:top w:type="dxa" w:w="80"/>
              <w:left w:type="dxa" w:w="120"/>
              <w:bottom w:type="dxa" w:w="80"/>
              <w:right w:type="dxa" w:w="120"/>
            </w:tcMar>
            <w:vAlign w:val="center"/>
          </w:tcPr>
          <w:p>
            <w:pPr>
              <w:pStyle w:val="MdTableCell"/>
            </w:pPr>
            <w:r>
              <w:t xml:space="preserve">Crosswalk of findings to SSA Listings with evidence gaps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legal_precedents</w:t>
            </w:r>
          </w:p>
        </w:tc>
        <w:tc>
          <w:tcPr>
            <w:tcBorders>
              <w:right w:val="none"/>
            </w:tcBorders>
            <w:tcMar>
              <w:top w:type="dxa" w:w="80"/>
              <w:left w:type="dxa" w:w="120"/>
              <w:bottom w:type="dxa" w:w="80"/>
              <w:right w:type="dxa" w:w="120"/>
            </w:tcMar>
            <w:vAlign w:val="center"/>
          </w:tcPr>
          <w:p>
            <w:pPr>
              <w:pStyle w:val="MdTableCell"/>
            </w:pPr>
            <w:r>
              <w:t xml:space="preserve">PACER case citations and judicial opinions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research_publications</w:t>
            </w:r>
          </w:p>
        </w:tc>
        <w:tc>
          <w:tcPr>
            <w:tcBorders>
              <w:right w:val="none"/>
            </w:tcBorders>
            <w:tcMar>
              <w:top w:type="dxa" w:w="80"/>
              <w:left w:type="dxa" w:w="120"/>
              <w:bottom w:type="dxa" w:w="80"/>
              <w:right w:type="dxa" w:w="120"/>
            </w:tcMar>
            <w:vAlign w:val="center"/>
          </w:tcPr>
          <w:p>
            <w:pPr>
              <w:pStyle w:val="MdTableCell"/>
            </w:pPr>
            <w:r>
              <w:t xml:space="preserve">PubMed articles with effect sizes and PRS weights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semantic_evidence_trace</w:t>
            </w:r>
          </w:p>
        </w:tc>
        <w:tc>
          <w:tcPr>
            <w:tcBorders>
              <w:right w:val="none"/>
            </w:tcBorders>
            <w:tcMar>
              <w:top w:type="dxa" w:w="80"/>
              <w:left w:type="dxa" w:w="120"/>
              <w:bottom w:type="dxa" w:w="80"/>
              <w:right w:type="dxa" w:w="120"/>
            </w:tcMar>
            <w:vAlign w:val="center"/>
          </w:tcPr>
          <w:p>
            <w:pPr>
              <w:pStyle w:val="MdTableCell"/>
            </w:pPr>
            <w:r>
              <w:t xml:space="preserve">Immutable ledger of findings, literature, and signatures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multi_agent_workflows</w:t>
            </w:r>
          </w:p>
        </w:tc>
        <w:tc>
          <w:tcPr>
            <w:tcBorders>
              <w:right w:val="none"/>
            </w:tcBorders>
            <w:tcMar>
              <w:top w:type="dxa" w:w="80"/>
              <w:left w:type="dxa" w:w="120"/>
              <w:bottom w:type="dxa" w:w="80"/>
              <w:right w:type="dxa" w:w="120"/>
            </w:tcMar>
            <w:vAlign w:val="center"/>
          </w:tcPr>
          <w:p>
            <w:pPr>
              <w:pStyle w:val="MdTableCell"/>
            </w:pPr>
            <w:r>
              <w:t xml:space="preserve">Orchestration logs and agent outputs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compliance_audits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HIPAA, GINA, ADA compliance validation logs</w:t>
            </w:r>
          </w:p>
        </w:tc>
      </w:tr>
    </w:tbl>
    <w:p>
      <w:pPr>
        <w:pStyle w:val="MdHr"/>
        <w:pBdr>
          <w:bottom w:val="single" w:color="auto" w:sz="6" w:space="1"/>
        </w:pBdr>
      </w:pPr>
    </w:p>
    <w:p>
      <w:pPr>
        <w:pStyle w:val="MdSpace"/>
        <w:spacing w:before="0" w:after="60"/>
      </w:pPr>
    </w:p>
    <w:p>
      <w:pPr>
        <w:pStyle w:val="Heading2"/>
        <w:pStyle w:val="MdHeading2"/>
      </w:pPr>
      <w:r>
        <w:t xml:space="preserve">Security and Compliance</w:t>
      </w:r>
    </w:p>
    <w:p>
      <w:pPr>
        <w:pStyle w:val="Heading3"/>
        <w:pStyle w:val="MdHeading3"/>
      </w:pPr>
      <w:r>
        <w:t xml:space="preserve">Data Protection</w:t>
      </w:r>
    </w:p>
    <w:p>
      <w:pPr>
        <w:pStyle w:val="MdListItem"/>
        <w:numPr>
          <w:ilvl w:val="0"/>
          <w:numId w:val="2"/>
        </w:numPr>
      </w:pPr>
      <w:r>
        <w:rPr>
          <w:rStyle w:val="MdStrong"/>
          <w:b/>
          <w:bCs/>
        </w:rPr>
        <w:t xml:space="preserve">Encryption at Rest</w:t>
      </w:r>
      <w:r>
        <w:t xml:space="preserve">: AES-256-GCM with Kyber-768 key encapsulation</w:t>
      </w:r>
    </w:p>
    <w:p>
      <w:pPr>
        <w:pStyle w:val="MdListItem"/>
        <w:numPr>
          <w:ilvl w:val="0"/>
          <w:numId w:val="2"/>
        </w:numPr>
      </w:pPr>
      <w:r>
        <w:rPr>
          <w:rStyle w:val="MdStrong"/>
          <w:b/>
          <w:bCs/>
        </w:rPr>
        <w:t xml:space="preserve">Encryption in Transit</w:t>
      </w:r>
      <w:r>
        <w:t xml:space="preserve">: TLS 1.3</w:t>
      </w:r>
    </w:p>
    <w:p>
      <w:pPr>
        <w:pStyle w:val="MdListItem"/>
        <w:numPr>
          <w:ilvl w:val="0"/>
          <w:numId w:val="2"/>
        </w:numPr>
      </w:pPr>
      <w:r>
        <w:rPr>
          <w:rStyle w:val="MdStrong"/>
          <w:b/>
          <w:bCs/>
        </w:rPr>
        <w:t xml:space="preserve">Key Management</w:t>
      </w:r>
      <w:r>
        <w:t xml:space="preserve">: Hardware security modules (HSM) for private keys</w:t>
      </w:r>
    </w:p>
    <w:p>
      <w:pPr>
        <w:pStyle w:val="MdListItem"/>
        <w:numPr>
          <w:ilvl w:val="0"/>
          <w:numId w:val="2"/>
        </w:numPr>
      </w:pPr>
      <w:r>
        <w:rPr>
          <w:rStyle w:val="MdStrong"/>
          <w:b/>
          <w:bCs/>
        </w:rPr>
        <w:t xml:space="preserve">Access Control</w:t>
      </w:r>
      <w:r>
        <w:t xml:space="preserve">: Role-based access control (RBAC) with audit logging</w:t>
      </w:r>
    </w:p>
    <w:p>
      <w:pPr>
        <w:pStyle w:val="MdSpace"/>
        <w:spacing w:before="0" w:after="60"/>
      </w:pPr>
    </w:p>
    <w:p>
      <w:pPr>
        <w:pStyle w:val="Heading3"/>
        <w:pStyle w:val="MdHeading3"/>
      </w:pPr>
      <w:r>
        <w:t xml:space="preserve">Regulatory Compliance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Standard</w:t>
            </w:r>
          </w:p>
        </w:tc>
        <w:tc>
          <w:tcPr>
            <w:tcBorders>
              <w:right w:val="none"/>
            </w:tcBorders>
            <w:tcMar>
              <w:top w:type="dxa" w:w="100"/>
              <w:left w:type="dxa" w:w="120"/>
              <w:bottom w:type="dxa" w:w="100"/>
              <w:right w:type="dxa" w:w="120"/>
            </w:tcMar>
            <w:vAlign w:val="center"/>
          </w:tcPr>
          <w:p>
            <w:pPr>
              <w:pStyle w:val="MdTableHeader"/>
            </w:pPr>
            <w:r>
              <w:t xml:space="preserve">Implementation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HIPAA</w:t>
            </w:r>
          </w:p>
        </w:tc>
        <w:tc>
          <w:tcPr>
            <w:tcBorders>
              <w:right w:val="none"/>
            </w:tcBorders>
            <w:tcMar>
              <w:top w:type="dxa" w:w="80"/>
              <w:left w:type="dxa" w:w="120"/>
              <w:bottom w:type="dxa" w:w="80"/>
              <w:right w:type="dxa" w:w="120"/>
            </w:tcMar>
            <w:vAlign w:val="center"/>
          </w:tcPr>
          <w:p>
            <w:pPr>
              <w:pStyle w:val="MdTableCell"/>
            </w:pPr>
            <w:r>
              <w:t xml:space="preserve">Minimum necessary principle, patient authorization, de-identification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GINA</w:t>
            </w:r>
          </w:p>
        </w:tc>
        <w:tc>
          <w:tcPr>
            <w:tcBorders>
              <w:right w:val="none"/>
            </w:tcBorders>
            <w:tcMar>
              <w:top w:type="dxa" w:w="80"/>
              <w:left w:type="dxa" w:w="120"/>
              <w:bottom w:type="dxa" w:w="80"/>
              <w:right w:type="dxa" w:w="120"/>
            </w:tcMar>
            <w:vAlign w:val="center"/>
          </w:tcPr>
          <w:p>
            <w:pPr>
              <w:pStyle w:val="MdTableCell"/>
            </w:pPr>
            <w:r>
              <w:t xml:space="preserve">Genetic data flagging, access restrictions, retention limits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ADA</w:t>
            </w:r>
          </w:p>
        </w:tc>
        <w:tc>
          <w:tcPr>
            <w:tcBorders>
              <w:right w:val="none"/>
            </w:tcBorders>
            <w:tcMar>
              <w:top w:type="dxa" w:w="80"/>
              <w:left w:type="dxa" w:w="120"/>
              <w:bottom w:type="dxa" w:w="80"/>
              <w:right w:type="dxa" w:w="120"/>
            </w:tcMar>
            <w:vAlign w:val="center"/>
          </w:tcPr>
          <w:p>
            <w:pPr>
              <w:pStyle w:val="MdTableCell"/>
            </w:pPr>
            <w:r>
              <w:t xml:space="preserve">WCAG 2.1 AA accessibility, reasonable accommodations, non-discrimination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SSR 16-4p</w:t>
            </w:r>
          </w:p>
        </w:tc>
        <w:tc>
          <w:tcPr>
            <w:tcBorders>
              <w:right w:val="none"/>
            </w:tcBorders>
            <w:tcMar>
              <w:top w:type="dxa" w:w="80"/>
              <w:left w:type="dxa" w:w="120"/>
              <w:bottom w:type="dxa" w:w="80"/>
              <w:right w:type="dxa" w:w="120"/>
            </w:tcMar>
            <w:vAlign w:val="center"/>
          </w:tcPr>
          <w:p>
            <w:pPr>
              <w:pStyle w:val="MdTableCell"/>
            </w:pPr>
            <w:r>
              <w:t xml:space="preserve">Evidentiary standards, Bates-stamped briefs, audit trails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NIST FIPS 203-205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Post-quantum cryptography (Kyber-768, Dilithium-III)</w:t>
            </w:r>
          </w:p>
        </w:tc>
      </w:tr>
    </w:tbl>
    <w:p>
      <w:pPr>
        <w:pStyle w:val="Heading3"/>
        <w:pStyle w:val="MdHeading3"/>
      </w:pPr>
      <w:r>
        <w:t xml:space="preserve">Audit and Logging</w:t>
      </w:r>
    </w:p>
    <w:p>
      <w:pPr>
        <w:pStyle w:val="MdListItem"/>
        <w:numPr>
          <w:ilvl w:val="0"/>
          <w:numId w:val="2"/>
        </w:numPr>
      </w:pPr>
      <w:r>
        <w:t xml:space="preserve">All user actions logged with timestamps and user IDs</w:t>
      </w:r>
    </w:p>
    <w:p>
      <w:pPr>
        <w:pStyle w:val="MdListItem"/>
        <w:numPr>
          <w:ilvl w:val="0"/>
          <w:numId w:val="2"/>
        </w:numPr>
      </w:pPr>
      <w:r>
        <w:t xml:space="preserve">Multi-agent workflow logs captured for reproducibility</w:t>
      </w:r>
    </w:p>
    <w:p>
      <w:pPr>
        <w:pStyle w:val="MdListItem"/>
        <w:numPr>
          <w:ilvl w:val="0"/>
          <w:numId w:val="2"/>
        </w:numPr>
      </w:pPr>
      <w:r>
        <w:t xml:space="preserve">Semantic Evidence Trace (SET) provides immutable audit trail</w:t>
      </w:r>
    </w:p>
    <w:p>
      <w:pPr>
        <w:pStyle w:val="MdListItem"/>
        <w:numPr>
          <w:ilvl w:val="0"/>
          <w:numId w:val="2"/>
        </w:numPr>
      </w:pPr>
      <w:r>
        <w:t xml:space="preserve">Regular compliance audits and penetration testing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Deployment and Scalability</w:t>
      </w:r>
    </w:p>
    <w:p>
      <w:pPr>
        <w:pStyle w:val="Heading3"/>
        <w:pStyle w:val="MdHeading3"/>
      </w:pPr>
      <w:r>
        <w:t xml:space="preserve">Infrastructure</w:t>
      </w:r>
    </w:p>
    <w:p>
      <w:pPr>
        <w:pStyle w:val="MdListItem"/>
        <w:numPr>
          <w:ilvl w:val="0"/>
          <w:numId w:val="2"/>
        </w:numPr>
      </w:pPr>
      <w:r>
        <w:rPr>
          <w:rStyle w:val="MdStrong"/>
          <w:b/>
          <w:bCs/>
        </w:rPr>
        <w:t xml:space="preserve">Frontend</w:t>
      </w:r>
      <w:r>
        <w:t xml:space="preserve">: React 19 + Tailwind CSS 4 (Manus hosting)</w:t>
      </w:r>
    </w:p>
    <w:p>
      <w:pPr>
        <w:pStyle w:val="MdListItem"/>
        <w:numPr>
          <w:ilvl w:val="0"/>
          <w:numId w:val="2"/>
        </w:numPr>
      </w:pPr>
      <w:r>
        <w:rPr>
          <w:rStyle w:val="MdStrong"/>
          <w:b/>
          <w:bCs/>
        </w:rPr>
        <w:t xml:space="preserve">Backend</w:t>
      </w:r>
      <w:r>
        <w:t xml:space="preserve">: Express.js + Node.js (Manus hosting)</w:t>
      </w:r>
    </w:p>
    <w:p>
      <w:pPr>
        <w:pStyle w:val="MdListItem"/>
        <w:numPr>
          <w:ilvl w:val="0"/>
          <w:numId w:val="2"/>
        </w:numPr>
      </w:pPr>
      <w:r>
        <w:rPr>
          <w:rStyle w:val="MdStrong"/>
          <w:b/>
          <w:bCs/>
        </w:rPr>
        <w:t xml:space="preserve">Database</w:t>
      </w:r>
      <w:r>
        <w:t xml:space="preserve">: MySQL/TiDB (Manus managed)</w:t>
      </w:r>
    </w:p>
    <w:p>
      <w:pPr>
        <w:pStyle w:val="MdListItem"/>
        <w:numPr>
          <w:ilvl w:val="0"/>
          <w:numId w:val="2"/>
        </w:numPr>
      </w:pPr>
      <w:r>
        <w:rPr>
          <w:rStyle w:val="MdStrong"/>
          <w:b/>
          <w:bCs/>
        </w:rPr>
        <w:t xml:space="preserve">Vector Store</w:t>
      </w:r>
      <w:r>
        <w:t xml:space="preserve">: Pinecone (cloud) or FAISS (local)</w:t>
      </w:r>
    </w:p>
    <w:p>
      <w:pPr>
        <w:pStyle w:val="MdListItem"/>
        <w:numPr>
          <w:ilvl w:val="0"/>
          <w:numId w:val="2"/>
        </w:numPr>
      </w:pPr>
      <w:r>
        <w:rPr>
          <w:rStyle w:val="MdStrong"/>
          <w:b/>
          <w:bCs/>
        </w:rPr>
        <w:t xml:space="preserve">File Storage</w:t>
      </w:r>
      <w:r>
        <w:t xml:space="preserve">: AWS S3 (encrypted)</w:t>
      </w:r>
    </w:p>
    <w:p>
      <w:pPr>
        <w:pStyle w:val="MdListItem"/>
        <w:numPr>
          <w:ilvl w:val="0"/>
          <w:numId w:val="2"/>
        </w:numPr>
      </w:pPr>
      <w:r>
        <w:rPr>
          <w:rStyle w:val="MdStrong"/>
          <w:b/>
          <w:bCs/>
        </w:rPr>
        <w:t xml:space="preserve">LLM APIs</w:t>
      </w:r>
      <w:r>
        <w:t xml:space="preserve">: OpenAI/Anthropic (external)</w:t>
      </w:r>
    </w:p>
    <w:p>
      <w:pPr>
        <w:pStyle w:val="MdListItem"/>
        <w:numPr>
          <w:ilvl w:val="0"/>
          <w:numId w:val="2"/>
        </w:numPr>
      </w:pPr>
      <w:r>
        <w:rPr>
          <w:rStyle w:val="MdStrong"/>
          <w:b/>
          <w:bCs/>
        </w:rPr>
        <w:t xml:space="preserve">Cryptography</w:t>
      </w:r>
      <w:r>
        <w:t xml:space="preserve">: liboqs-python for PQC operations</w:t>
      </w:r>
    </w:p>
    <w:p>
      <w:pPr>
        <w:pStyle w:val="MdSpace"/>
        <w:spacing w:before="0" w:after="60"/>
      </w:pPr>
    </w:p>
    <w:p>
      <w:pPr>
        <w:pStyle w:val="Heading3"/>
        <w:pStyle w:val="MdHeading3"/>
      </w:pPr>
      <w:r>
        <w:t xml:space="preserve">Scalability Considerations</w:t>
      </w:r>
    </w:p>
    <w:p>
      <w:pPr>
        <w:pStyle w:val="MdListItem"/>
        <w:numPr>
          <w:ilvl w:val="0"/>
          <w:numId w:val="2"/>
        </w:numPr>
      </w:pPr>
      <w:r>
        <w:rPr>
          <w:rStyle w:val="MdStrong"/>
          <w:b/>
          <w:bCs/>
        </w:rPr>
        <w:t xml:space="preserve">Horizontal Scaling</w:t>
      </w:r>
      <w:r>
        <w:t xml:space="preserve">: Stateless API servers behind load balancer</w:t>
      </w:r>
    </w:p>
    <w:p>
      <w:pPr>
        <w:pStyle w:val="MdListItem"/>
        <w:numPr>
          <w:ilvl w:val="0"/>
          <w:numId w:val="2"/>
        </w:numPr>
      </w:pPr>
      <w:r>
        <w:rPr>
          <w:rStyle w:val="MdStrong"/>
          <w:b/>
          <w:bCs/>
        </w:rPr>
        <w:t xml:space="preserve">Database Sharding</w:t>
      </w:r>
      <w:r>
        <w:t xml:space="preserve">: Partition cases by patient ID or region</w:t>
      </w:r>
    </w:p>
    <w:p>
      <w:pPr>
        <w:pStyle w:val="MdListItem"/>
        <w:numPr>
          <w:ilvl w:val="0"/>
          <w:numId w:val="2"/>
        </w:numPr>
      </w:pPr>
      <w:r>
        <w:rPr>
          <w:rStyle w:val="MdStrong"/>
          <w:b/>
          <w:bCs/>
        </w:rPr>
        <w:t xml:space="preserve">Vector Store Scaling</w:t>
      </w:r>
      <w:r>
        <w:t xml:space="preserve">: Pinecone handles 100M+ embeddings</w:t>
      </w:r>
    </w:p>
    <w:p>
      <w:pPr>
        <w:pStyle w:val="MdListItem"/>
        <w:numPr>
          <w:ilvl w:val="0"/>
          <w:numId w:val="2"/>
        </w:numPr>
      </w:pPr>
      <w:r>
        <w:rPr>
          <w:rStyle w:val="MdStrong"/>
          <w:b/>
          <w:bCs/>
        </w:rPr>
        <w:t xml:space="preserve">Async Processing</w:t>
      </w:r>
      <w:r>
        <w:t xml:space="preserve">: Background jobs for document processing and agent workflows</w:t>
      </w:r>
    </w:p>
    <w:p>
      <w:pPr>
        <w:pStyle w:val="MdListItem"/>
        <w:numPr>
          <w:ilvl w:val="0"/>
          <w:numId w:val="2"/>
        </w:numPr>
      </w:pPr>
      <w:r>
        <w:rPr>
          <w:rStyle w:val="MdStrong"/>
          <w:b/>
          <w:bCs/>
        </w:rPr>
        <w:t xml:space="preserve">Caching</w:t>
      </w:r>
      <w:r>
        <w:t xml:space="preserve">: Redis for frequently accessed evidence and research weights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Implementation Roadmap</w:t>
      </w:r>
    </w:p>
    <w:p>
      <w:pPr>
        <w:pStyle w:val="Heading3"/>
        <w:pStyle w:val="MdHeading3"/>
      </w:pPr>
      <w:r>
        <w:t xml:space="preserve">Phase 1: Foundation (Weeks 1-2)</w:t>
      </w:r>
    </w:p>
    <w:p>
      <w:pPr>
        <w:pStyle w:val="MdListItem"/>
        <w:numPr>
          <w:ilvl w:val="0"/>
          <w:numId w:val="2"/>
        </w:numPr>
      </w:pPr>
      <w:r>
        <w:t xml:space="preserve">Database schema and core models</w:t>
      </w:r>
    </w:p>
    <w:p>
      <w:pPr>
        <w:pStyle w:val="MdListItem"/>
        <w:numPr>
          <w:ilvl w:val="0"/>
          <w:numId w:val="2"/>
        </w:numPr>
      </w:pPr>
      <w:r>
        <w:t xml:space="preserve">User authentication and RBAC</w:t>
      </w:r>
    </w:p>
    <w:p>
      <w:pPr>
        <w:pStyle w:val="MdListItem"/>
        <w:numPr>
          <w:ilvl w:val="0"/>
          <w:numId w:val="2"/>
        </w:numPr>
      </w:pPr>
      <w:r>
        <w:t xml:space="preserve">Basic case management dashboard</w:t>
      </w:r>
    </w:p>
    <w:p>
      <w:pPr>
        <w:pStyle w:val="MdSpace"/>
        <w:spacing w:before="0" w:after="60"/>
      </w:pPr>
    </w:p>
    <w:p>
      <w:pPr>
        <w:pStyle w:val="Heading3"/>
        <w:pStyle w:val="MdHeading3"/>
      </w:pPr>
      <w:r>
        <w:t xml:space="preserve">Phase 2: AI Workflows (Weeks 3-4)</w:t>
      </w:r>
    </w:p>
    <w:p>
      <w:pPr>
        <w:pStyle w:val="MdListItem"/>
        <w:numPr>
          <w:ilvl w:val="0"/>
          <w:numId w:val="2"/>
        </w:numPr>
      </w:pPr>
      <w:r>
        <w:t xml:space="preserve">Multi-agent orchestration framework</w:t>
      </w:r>
    </w:p>
    <w:p>
      <w:pPr>
        <w:pStyle w:val="MdListItem"/>
        <w:numPr>
          <w:ilvl w:val="0"/>
          <w:numId w:val="2"/>
        </w:numPr>
      </w:pPr>
      <w:r>
        <w:t xml:space="preserve">Medical extraction agent</w:t>
      </w:r>
    </w:p>
    <w:p>
      <w:pPr>
        <w:pStyle w:val="MdListItem"/>
        <w:numPr>
          <w:ilvl w:val="0"/>
          <w:numId w:val="2"/>
        </w:numPr>
      </w:pPr>
      <w:r>
        <w:t xml:space="preserve">SSA Policy agent</w:t>
      </w:r>
    </w:p>
    <w:p>
      <w:pPr>
        <w:pStyle w:val="MdSpace"/>
        <w:spacing w:before="0" w:after="60"/>
      </w:pPr>
    </w:p>
    <w:p>
      <w:pPr>
        <w:pStyle w:val="Heading3"/>
        <w:pStyle w:val="MdHeading3"/>
      </w:pPr>
      <w:r>
        <w:t xml:space="preserve">Phase 3: Evidence Discovery (Weeks 5-6)</w:t>
      </w:r>
    </w:p>
    <w:p>
      <w:pPr>
        <w:pStyle w:val="MdListItem"/>
        <w:numPr>
          <w:ilvl w:val="0"/>
          <w:numId w:val="2"/>
        </w:numPr>
      </w:pPr>
      <w:r>
        <w:t xml:space="preserve">RAG pipeline with vector embeddings</w:t>
      </w:r>
    </w:p>
    <w:p>
      <w:pPr>
        <w:pStyle w:val="MdListItem"/>
        <w:numPr>
          <w:ilvl w:val="0"/>
          <w:numId w:val="2"/>
        </w:numPr>
      </w:pPr>
      <w:r>
        <w:t xml:space="preserve">Medical evidence retrieval</w:t>
      </w:r>
    </w:p>
    <w:p>
      <w:pPr>
        <w:pStyle w:val="MdListItem"/>
        <w:numPr>
          <w:ilvl w:val="0"/>
          <w:numId w:val="2"/>
        </w:numPr>
      </w:pPr>
      <w:r>
        <w:t xml:space="preserve">Legal precedent integration</w:t>
      </w:r>
    </w:p>
    <w:p>
      <w:pPr>
        <w:pStyle w:val="MdSpace"/>
        <w:spacing w:before="0" w:after="60"/>
      </w:pPr>
    </w:p>
    <w:p>
      <w:pPr>
        <w:pStyle w:val="Heading3"/>
        <w:pStyle w:val="MdHeading3"/>
      </w:pPr>
      <w:r>
        <w:t xml:space="preserve">Phase 4: Security and Compliance (Weeks 7-8)</w:t>
      </w:r>
    </w:p>
    <w:p>
      <w:pPr>
        <w:pStyle w:val="MdListItem"/>
        <w:numPr>
          <w:ilvl w:val="0"/>
          <w:numId w:val="2"/>
        </w:numPr>
      </w:pPr>
      <w:r>
        <w:t xml:space="preserve">Post-quantum cryptography implementation</w:t>
      </w:r>
    </w:p>
    <w:p>
      <w:pPr>
        <w:pStyle w:val="MdListItem"/>
        <w:numPr>
          <w:ilvl w:val="0"/>
          <w:numId w:val="2"/>
        </w:numPr>
      </w:pPr>
      <w:r>
        <w:t xml:space="preserve">Regulatory mapping engine</w:t>
      </w:r>
    </w:p>
    <w:p>
      <w:pPr>
        <w:pStyle w:val="MdListItem"/>
        <w:numPr>
          <w:ilvl w:val="0"/>
          <w:numId w:val="2"/>
        </w:numPr>
      </w:pPr>
      <w:r>
        <w:t xml:space="preserve">Audit trail and SET ledger</w:t>
      </w:r>
    </w:p>
    <w:p>
      <w:pPr>
        <w:pStyle w:val="MdSpace"/>
        <w:spacing w:before="0" w:after="60"/>
      </w:pPr>
    </w:p>
    <w:p>
      <w:pPr>
        <w:pStyle w:val="Heading3"/>
        <w:pStyle w:val="MdHeading3"/>
      </w:pPr>
      <w:r>
        <w:t xml:space="preserve">Phase 5: Advanced Features (Weeks 9-10)</w:t>
      </w:r>
    </w:p>
    <w:p>
      <w:pPr>
        <w:pStyle w:val="MdListItem"/>
        <w:numPr>
          <w:ilvl w:val="0"/>
          <w:numId w:val="2"/>
        </w:numPr>
      </w:pPr>
      <w:r>
        <w:t xml:space="preserve">Federated data integration (PACER, PubMed, ScholarPK)</w:t>
      </w:r>
    </w:p>
    <w:p>
      <w:pPr>
        <w:pStyle w:val="MdListItem"/>
        <w:numPr>
          <w:ilvl w:val="0"/>
          <w:numId w:val="2"/>
        </w:numPr>
      </w:pPr>
      <w:r>
        <w:t xml:space="preserve">Synthetic genomic data generation</w:t>
      </w:r>
    </w:p>
    <w:p>
      <w:pPr>
        <w:pStyle w:val="MdListItem"/>
        <w:numPr>
          <w:ilvl w:val="0"/>
          <w:numId w:val="2"/>
        </w:numPr>
      </w:pPr>
      <w:r>
        <w:t xml:space="preserve">Research-driven PRS weighting</w:t>
      </w:r>
    </w:p>
    <w:p>
      <w:pPr>
        <w:pStyle w:val="MdSpace"/>
        <w:spacing w:before="0" w:after="60"/>
      </w:pPr>
    </w:p>
    <w:p>
      <w:pPr>
        <w:pStyle w:val="Heading3"/>
        <w:pStyle w:val="MdHeading3"/>
      </w:pPr>
      <w:r>
        <w:t xml:space="preserve">Phase 6: Testing and Deployment (Weeks 11-12)</w:t>
      </w:r>
    </w:p>
    <w:p>
      <w:pPr>
        <w:pStyle w:val="MdListItem"/>
        <w:numPr>
          <w:ilvl w:val="0"/>
          <w:numId w:val="2"/>
        </w:numPr>
      </w:pPr>
      <w:r>
        <w:t xml:space="preserve">Comprehensive testing and validation</w:t>
      </w:r>
    </w:p>
    <w:p>
      <w:pPr>
        <w:pStyle w:val="MdListItem"/>
        <w:numPr>
          <w:ilvl w:val="0"/>
          <w:numId w:val="2"/>
        </w:numPr>
      </w:pPr>
      <w:r>
        <w:t xml:space="preserve">Security audit and penetration testing</w:t>
      </w:r>
    </w:p>
    <w:p>
      <w:pPr>
        <w:pStyle w:val="MdListItem"/>
        <w:numPr>
          <w:ilvl w:val="0"/>
          <w:numId w:val="2"/>
        </w:numPr>
      </w:pPr>
      <w:r>
        <w:t xml:space="preserve">Production deployment and monitoring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The SSA Medical Discovery Platform represents a comprehensive, AI-powered solution for disability claims adjudication. By integrating multi-agent AI workflows, RAG-based evidence discovery, post-quantum cryptographic security, and regulatory compliance frameworks, the platform creates a litigation-grade evidence system that is secure, auditable, and scientifically grounded.</w:t>
      </w:r>
    </w:p>
    <w:p>
      <w:pPr>
        <w:pStyle w:val="MdSpace"/>
        <w:spacing w:before="0" w:after="60"/>
      </w:pPr>
    </w:p>
    <w:p>
      <w:pPr>
        <w:pStyle w:val="MdParagraph"/>
      </w:pPr>
      <w:r>
        <w:t xml:space="preserve">The architecture prioritizes data protection, regulatory alignment, and reproducibility, ensuring that every finding is traceable to verifiable scientific literature and legal precedent. This foundation enables attorneys, medical reviewers, and adjudicators to make evidence-based decisions with confidence and transparency.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2026-07-06T10:23:40.835Z</dcterms:created>
  <dcterms:modified xsi:type="dcterms:W3CDTF">2026-07-06T10:23:40.835Z</dcterms:modified>
</cp:coreProperties>
</file>

<file path=docProps/custom.xml><?xml version="1.0" encoding="utf-8"?>
<Properties xmlns="http://schemas.openxmlformats.org/officeDocument/2006/custom-properties" xmlns:vt="http://schemas.openxmlformats.org/officeDocument/2006/docPropsVTypes"/>
</file>