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color w:val="2E6E4E"/>
          <w:sz w:val="52"/>
        </w:rPr>
        <w:t>通化玉皇山公园升级改造设计</w:t>
      </w:r>
    </w:p>
    <w:p>
      <w:pPr>
        <w:jc w:val="center"/>
      </w:pPr>
      <w:r>
        <w:rPr>
          <w:rFonts w:ascii="微软雅黑" w:hAnsi="微软雅黑" w:eastAsia="微软雅黑"/>
          <w:b/>
          <w:color w:val="2E6E4E"/>
          <w:sz w:val="52"/>
        </w:rPr>
        <w:t>专题研究报告</w:t>
      </w:r>
    </w:p>
    <w:p/>
    <w:p>
      <w:pPr>
        <w:jc w:val="center"/>
      </w:pPr>
      <w:r>
        <w:rPr>
          <w:rFonts w:ascii="微软雅黑" w:hAnsi="微软雅黑" w:eastAsia="微软雅黑"/>
          <w:b w:val="0"/>
          <w:color w:val="8A6D1A"/>
          <w:sz w:val="28"/>
        </w:rPr>
        <w:t>——历史文化梳理·改造必要性·经营前景·营收提升方案——</w:t>
      </w:r>
    </w:p>
    <w:p/>
    <w:p/>
    <w:p/>
    <w:p/>
    <w:p/>
    <w:p/>
    <w:p/>
    <w:p/>
    <w:p>
      <w:pPr>
        <w:jc w:val="center"/>
      </w:pPr>
      <w:r>
        <w:rPr>
          <w:rFonts w:ascii="宋体" w:hAnsi="宋体" w:eastAsia="宋体"/>
          <w:b w:val="0"/>
          <w:sz w:val="26"/>
        </w:rPr>
        <w:t>（设计方案汇总专用基础研究稿）</w:t>
      </w:r>
    </w:p>
    <w:p>
      <w:pPr>
        <w:jc w:val="center"/>
      </w:pPr>
      <w:r>
        <w:rPr>
          <w:rFonts w:ascii="宋体" w:hAnsi="宋体" w:eastAsia="宋体"/>
          <w:b w:val="0"/>
          <w:sz w:val="26"/>
        </w:rPr>
        <w:t>2026年9月</w:t>
      </w:r>
    </w:p>
    <w:p>
      <w:r>
        <w:br w:type="page"/>
      </w:r>
    </w:p>
    <w:p>
      <w:pPr>
        <w:spacing w:before="360" w:after="200"/>
        <w:keepNext/>
        <w:pBdr>
          <w:bottom w:val="single" w:sz="12" w:space="4" w:color="2E6E4E"/>
        </w:pBdr>
      </w:pPr>
      <w:r>
        <w:rPr>
          <w:rFonts w:ascii="微软雅黑" w:hAnsi="微软雅黑" w:eastAsia="微软雅黑"/>
          <w:b/>
          <w:color w:val="2E6E4E"/>
          <w:sz w:val="32"/>
        </w:rPr>
        <w:t xml:space="preserve">摘　要　</w:t>
      </w:r>
    </w:p>
    <w:p>
      <w:pPr>
        <w:spacing w:after="120" w:line="336" w:lineRule="auto"/>
        <w:ind w:firstLine="480"/>
      </w:pPr>
      <w:r>
        <w:rPr>
          <w:rFonts w:ascii="宋体" w:hAnsi="宋体" w:eastAsia="宋体"/>
          <w:b w:val="0"/>
          <w:sz w:val="24"/>
        </w:rPr>
        <w:t>玉皇山公园与通化城同龄——1877年（清光绪三年）通化设治、玉皇阁初建、玉皇山得名，一城、一阁、一山同年命名，是通化城市记忆的原点。本报告立足公园历史文化与土地资源本底，从城市记忆价值、城市空间价值、城市活力拉动三个维度论证改造必要性；结合新时代客群需求，提出公园八大提升方向；并就冬季与万峰雪场联动、全球变暖背景下避暑需求、G331沿边开放旅游大通道节点、沈白高铁开通客流红利及长白山区域联动五个方面分析经营前景。</w:t>
      </w:r>
    </w:p>
    <w:p>
      <w:pPr>
        <w:spacing w:after="120" w:line="336" w:lineRule="auto"/>
        <w:ind w:firstLine="480"/>
      </w:pPr>
      <w:r>
        <w:rPr>
          <w:rFonts w:ascii="宋体" w:hAnsi="宋体" w:eastAsia="宋体"/>
          <w:b w:val="0"/>
          <w:sz w:val="24"/>
        </w:rPr>
        <w:t>报告同时给出：在附件工作表05/06投入产出预估基准上实现营业收入提升50%的分项目路径与措施、各经营项目成本结构分析、智慧运营小程序模块架构，以及公园品牌口号方案。项目用地条件明确：45000平方米土地证已办理，约505011平方米林权证已确权，全部经营设施遵循“100%使用已建设用地、不砍伐破坏任何树木、不新增林地占用（可移动组装式）、架空架设不占地”四大生态原则布设，合规性与生态友好性突出。</w:t>
      </w:r>
    </w:p>
    <w:p>
      <w:r>
        <w:br w:type="page"/>
      </w:r>
    </w:p>
    <w:p>
      <w:pPr>
        <w:spacing w:before="360" w:after="200"/>
        <w:keepNext/>
        <w:pBdr>
          <w:bottom w:val="single" w:sz="12" w:space="4" w:color="2E6E4E"/>
        </w:pBdr>
      </w:pPr>
      <w:r>
        <w:rPr>
          <w:rFonts w:ascii="微软雅黑" w:hAnsi="微软雅黑" w:eastAsia="微软雅黑"/>
          <w:b/>
          <w:color w:val="2E6E4E"/>
          <w:sz w:val="32"/>
        </w:rPr>
        <w:t>一　项目概况与用地条件</w:t>
      </w:r>
    </w:p>
    <w:p>
      <w:pPr>
        <w:keepNext/>
        <w:spacing w:before="240" w:after="120"/>
      </w:pPr>
      <w:r>
        <w:rPr>
          <w:rFonts w:ascii="微软雅黑" w:hAnsi="微软雅黑" w:eastAsia="微软雅黑"/>
          <w:b/>
          <w:color w:val="333333"/>
          <w:sz w:val="27"/>
        </w:rPr>
        <w:t>1.1 项目区位</w:t>
      </w:r>
    </w:p>
    <w:p>
      <w:pPr>
        <w:spacing w:after="120" w:line="336" w:lineRule="auto"/>
        <w:ind w:firstLine="480"/>
      </w:pPr>
      <w:r>
        <w:rPr>
          <w:rFonts w:ascii="宋体" w:hAnsi="宋体" w:eastAsia="宋体"/>
          <w:b w:val="0"/>
          <w:sz w:val="24"/>
        </w:rPr>
        <w:t>玉皇山公园位于通化市城区浑江北岸，属长白山余脉，平均海拔430米，绿化覆盖率达95%，是嵌于城市中心的山地综合性公园，与城市隔江相望、山城相拥，分为前山观赏娱乐区和后山静憩区，园内现存玉皇阁、望江亭、九龙亭等历史建筑。公园距通化站（沈白高铁）、龙兴里文旅街区、佟佳江旅游度假区均在城区短途车程内，是市区可达性最好的自然山体空间。</w:t>
      </w:r>
    </w:p>
    <w:p>
      <w:pPr>
        <w:keepNext/>
        <w:spacing w:before="240" w:after="120"/>
      </w:pPr>
      <w:r>
        <w:rPr>
          <w:rFonts w:ascii="微软雅黑" w:hAnsi="微软雅黑" w:eastAsia="微软雅黑"/>
          <w:b/>
          <w:color w:val="333333"/>
          <w:sz w:val="27"/>
        </w:rPr>
        <w:t>1.2 用地权属条件</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51"/>
            <w:shd w:val="clear" w:fill="2E6E4E"/>
          </w:tcPr>
          <w:p>
            <w:pPr>
              <w:jc w:val="center"/>
            </w:pPr>
            <w:r>
              <w:rPr>
                <w:rFonts w:ascii="微软雅黑" w:hAnsi="微软雅黑" w:eastAsia="微软雅黑"/>
                <w:b/>
                <w:color w:val="FFFFFF"/>
                <w:sz w:val="21"/>
              </w:rPr>
              <w:t>权属类型</w:t>
            </w:r>
          </w:p>
        </w:tc>
        <w:tc>
          <w:tcPr>
            <w:tcW w:type="dxa" w:w="1814"/>
            <w:shd w:val="clear" w:fill="2E6E4E"/>
          </w:tcPr>
          <w:p>
            <w:pPr>
              <w:jc w:val="center"/>
            </w:pPr>
            <w:r>
              <w:rPr>
                <w:rFonts w:ascii="微软雅黑" w:hAnsi="微软雅黑" w:eastAsia="微软雅黑"/>
                <w:b/>
                <w:color w:val="FFFFFF"/>
                <w:sz w:val="21"/>
              </w:rPr>
              <w:t>面积</w:t>
            </w:r>
          </w:p>
        </w:tc>
        <w:tc>
          <w:tcPr>
            <w:tcW w:type="dxa" w:w="1701"/>
            <w:shd w:val="clear" w:fill="2E6E4E"/>
          </w:tcPr>
          <w:p>
            <w:pPr>
              <w:jc w:val="center"/>
            </w:pPr>
            <w:r>
              <w:rPr>
                <w:rFonts w:ascii="微软雅黑" w:hAnsi="微软雅黑" w:eastAsia="微软雅黑"/>
                <w:b/>
                <w:color w:val="FFFFFF"/>
                <w:sz w:val="21"/>
              </w:rPr>
              <w:t>状态</w:t>
            </w:r>
          </w:p>
        </w:tc>
        <w:tc>
          <w:tcPr>
            <w:tcW w:type="dxa" w:w="3005"/>
            <w:shd w:val="clear" w:fill="2E6E4E"/>
          </w:tcPr>
          <w:p>
            <w:pPr>
              <w:jc w:val="center"/>
            </w:pPr>
            <w:r>
              <w:rPr>
                <w:rFonts w:ascii="微软雅黑" w:hAnsi="微软雅黑" w:eastAsia="微软雅黑"/>
                <w:b/>
                <w:color w:val="FFFFFF"/>
                <w:sz w:val="21"/>
              </w:rPr>
              <w:t>可利用方式</w:t>
            </w:r>
          </w:p>
        </w:tc>
      </w:tr>
      <w:tr>
        <w:tc>
          <w:tcPr>
            <w:tcW w:type="dxa" w:w="2551"/>
          </w:tcPr>
          <w:p>
            <w:pPr>
              <w:spacing w:after="40"/>
            </w:pPr>
            <w:r>
              <w:rPr>
                <w:rFonts w:ascii="宋体" w:hAnsi="宋体" w:eastAsia="宋体"/>
                <w:b/>
                <w:sz w:val="21"/>
              </w:rPr>
              <w:t>国有建设用地（土地证）</w:t>
            </w:r>
          </w:p>
        </w:tc>
        <w:tc>
          <w:tcPr>
            <w:tcW w:type="dxa" w:w="1814"/>
          </w:tcPr>
          <w:p>
            <w:pPr>
              <w:spacing w:after="40"/>
            </w:pPr>
            <w:r>
              <w:rPr>
                <w:rFonts w:ascii="宋体" w:hAnsi="宋体" w:eastAsia="宋体"/>
                <w:b w:val="0"/>
                <w:sz w:val="21"/>
              </w:rPr>
              <w:t>45,000平方米</w:t>
            </w:r>
          </w:p>
        </w:tc>
        <w:tc>
          <w:tcPr>
            <w:tcW w:type="dxa" w:w="1701"/>
          </w:tcPr>
          <w:p>
            <w:pPr>
              <w:spacing w:after="40"/>
            </w:pPr>
            <w:r>
              <w:rPr>
                <w:rFonts w:ascii="宋体" w:hAnsi="宋体" w:eastAsia="宋体"/>
                <w:b w:val="0"/>
                <w:sz w:val="21"/>
              </w:rPr>
              <w:t>土地证已办理</w:t>
            </w:r>
          </w:p>
        </w:tc>
        <w:tc>
          <w:tcPr>
            <w:tcW w:type="dxa" w:w="3005"/>
          </w:tcPr>
          <w:p>
            <w:pPr>
              <w:spacing w:after="40"/>
            </w:pPr>
            <w:r>
              <w:rPr>
                <w:rFonts w:ascii="宋体" w:hAnsi="宋体" w:eastAsia="宋体"/>
                <w:b w:val="0"/>
                <w:sz w:val="21"/>
              </w:rPr>
              <w:t>游乐设施、服务建筑、广场活动等经营性项目核心承载区</w:t>
            </w:r>
          </w:p>
        </w:tc>
      </w:tr>
      <w:tr>
        <w:tc>
          <w:tcPr>
            <w:tcW w:type="dxa" w:w="2551"/>
            <w:shd w:val="clear" w:fill="F2F6F3"/>
          </w:tcPr>
          <w:p>
            <w:pPr>
              <w:spacing w:after="40"/>
            </w:pPr>
            <w:r>
              <w:rPr>
                <w:rFonts w:ascii="宋体" w:hAnsi="宋体" w:eastAsia="宋体"/>
                <w:b/>
                <w:sz w:val="21"/>
              </w:rPr>
              <w:t>林地（林权证）</w:t>
            </w:r>
          </w:p>
        </w:tc>
        <w:tc>
          <w:tcPr>
            <w:tcW w:type="dxa" w:w="1814"/>
            <w:shd w:val="clear" w:fill="F2F6F3"/>
          </w:tcPr>
          <w:p>
            <w:pPr>
              <w:spacing w:after="40"/>
            </w:pPr>
            <w:r>
              <w:rPr>
                <w:rFonts w:ascii="宋体" w:hAnsi="宋体" w:eastAsia="宋体"/>
                <w:b w:val="0"/>
                <w:sz w:val="21"/>
              </w:rPr>
              <w:t>约505,011平方米</w:t>
            </w:r>
          </w:p>
        </w:tc>
        <w:tc>
          <w:tcPr>
            <w:tcW w:type="dxa" w:w="1701"/>
            <w:shd w:val="clear" w:fill="F2F6F3"/>
          </w:tcPr>
          <w:p>
            <w:pPr>
              <w:spacing w:after="40"/>
            </w:pPr>
            <w:r>
              <w:rPr>
                <w:rFonts w:ascii="宋体" w:hAnsi="宋体" w:eastAsia="宋体"/>
                <w:b w:val="0"/>
                <w:sz w:val="21"/>
              </w:rPr>
              <w:t>林权已确权</w:t>
            </w:r>
          </w:p>
        </w:tc>
        <w:tc>
          <w:tcPr>
            <w:tcW w:type="dxa" w:w="3005"/>
            <w:shd w:val="clear" w:fill="F2F6F3"/>
          </w:tcPr>
          <w:p>
            <w:pPr>
              <w:spacing w:after="40"/>
            </w:pPr>
            <w:r>
              <w:rPr>
                <w:rFonts w:ascii="宋体" w:hAnsi="宋体" w:eastAsia="宋体"/>
                <w:b w:val="0"/>
                <w:sz w:val="21"/>
              </w:rPr>
              <w:t>森林游憩、架空观景、生态解说等零扰动利用</w:t>
            </w:r>
          </w:p>
        </w:tc>
      </w:tr>
    </w:tbl>
    <w:p>
      <w:pPr>
        <w:spacing w:after="40"/>
      </w:pPr>
    </w:p>
    <w:p>
      <w:pPr>
        <w:keepNext/>
        <w:spacing w:before="240" w:after="120"/>
      </w:pPr>
      <w:r>
        <w:rPr>
          <w:rFonts w:ascii="微软雅黑" w:hAnsi="微软雅黑" w:eastAsia="微软雅黑"/>
          <w:b/>
          <w:color w:val="333333"/>
          <w:sz w:val="27"/>
        </w:rPr>
        <w:t>1.3 “生态零扰动”开发四原则</w:t>
      </w:r>
    </w:p>
    <w:p>
      <w:pPr>
        <w:spacing w:after="120" w:line="336" w:lineRule="auto"/>
        <w:ind w:firstLine="480"/>
      </w:pPr>
      <w:r>
        <w:rPr>
          <w:rFonts w:ascii="宋体" w:hAnsi="宋体" w:eastAsia="宋体"/>
          <w:b w:val="0"/>
          <w:sz w:val="24"/>
        </w:rPr>
        <w:t>本项目全部经营内容按以下四条刚性原则设计，实现“开发不动林、经营不占绿”：</w:t>
      </w:r>
    </w:p>
    <w:tbl>
      <w:tblPr>
        <w:tblStyle w:val="TableGrid"/>
        <w:tblW w:type="auto" w:w="0"/>
        <w:jc w:val="center"/>
        <w:tblLook w:firstColumn="1" w:firstRow="1" w:lastColumn="0" w:lastRow="0" w:noHBand="0" w:noVBand="1" w:val="04A0"/>
      </w:tblPr>
      <w:tblGrid>
        <w:gridCol w:w="3024"/>
        <w:gridCol w:w="3024"/>
        <w:gridCol w:w="3024"/>
      </w:tblGrid>
      <w:tr>
        <w:tc>
          <w:tcPr>
            <w:tcW w:type="dxa" w:w="2154"/>
            <w:shd w:val="clear" w:fill="2E6E4E"/>
          </w:tcPr>
          <w:p>
            <w:pPr>
              <w:jc w:val="center"/>
            </w:pPr>
            <w:r>
              <w:rPr>
                <w:rFonts w:ascii="微软雅黑" w:hAnsi="微软雅黑" w:eastAsia="微软雅黑"/>
                <w:b/>
                <w:color w:val="FFFFFF"/>
                <w:sz w:val="21"/>
              </w:rPr>
              <w:t>原则</w:t>
            </w:r>
          </w:p>
        </w:tc>
        <w:tc>
          <w:tcPr>
            <w:tcW w:type="dxa" w:w="3742"/>
            <w:shd w:val="clear" w:fill="2E6E4E"/>
          </w:tcPr>
          <w:p>
            <w:pPr>
              <w:jc w:val="center"/>
            </w:pPr>
            <w:r>
              <w:rPr>
                <w:rFonts w:ascii="微软雅黑" w:hAnsi="微软雅黑" w:eastAsia="微软雅黑"/>
                <w:b/>
                <w:color w:val="FFFFFF"/>
                <w:sz w:val="21"/>
              </w:rPr>
              <w:t>具体做法</w:t>
            </w:r>
          </w:p>
        </w:tc>
        <w:tc>
          <w:tcPr>
            <w:tcW w:type="dxa" w:w="3175"/>
            <w:shd w:val="clear" w:fill="2E6E4E"/>
          </w:tcPr>
          <w:p>
            <w:pPr>
              <w:jc w:val="center"/>
            </w:pPr>
            <w:r>
              <w:rPr>
                <w:rFonts w:ascii="微软雅黑" w:hAnsi="微软雅黑" w:eastAsia="微软雅黑"/>
                <w:b/>
                <w:color w:val="FFFFFF"/>
                <w:sz w:val="21"/>
              </w:rPr>
              <w:t>合规/生态意义</w:t>
            </w:r>
          </w:p>
        </w:tc>
      </w:tr>
      <w:tr>
        <w:tc>
          <w:tcPr>
            <w:tcW w:type="dxa" w:w="2154"/>
          </w:tcPr>
          <w:p>
            <w:pPr>
              <w:spacing w:after="40"/>
            </w:pPr>
            <w:r>
              <w:rPr>
                <w:rFonts w:ascii="宋体" w:hAnsi="宋体" w:eastAsia="宋体"/>
                <w:b/>
                <w:sz w:val="21"/>
              </w:rPr>
              <w:t>100%使用已建设用地</w:t>
            </w:r>
          </w:p>
        </w:tc>
        <w:tc>
          <w:tcPr>
            <w:tcW w:type="dxa" w:w="3742"/>
          </w:tcPr>
          <w:p>
            <w:pPr>
              <w:spacing w:after="40"/>
            </w:pPr>
            <w:r>
              <w:rPr>
                <w:rFonts w:ascii="宋体" w:hAnsi="宋体" w:eastAsia="宋体"/>
                <w:b w:val="0"/>
                <w:sz w:val="21"/>
              </w:rPr>
              <w:t>所有项目均布设于既有硬化场地（广场、道路、庭院、建筑内部）</w:t>
            </w:r>
          </w:p>
        </w:tc>
        <w:tc>
          <w:tcPr>
            <w:tcW w:type="dxa" w:w="3175"/>
          </w:tcPr>
          <w:p>
            <w:pPr>
              <w:spacing w:after="40"/>
            </w:pPr>
            <w:r>
              <w:rPr>
                <w:rFonts w:ascii="宋体" w:hAnsi="宋体" w:eastAsia="宋体"/>
                <w:b w:val="0"/>
                <w:sz w:val="21"/>
              </w:rPr>
              <w:t>不触碰林地红线，报批路径最短</w:t>
            </w:r>
          </w:p>
        </w:tc>
      </w:tr>
      <w:tr>
        <w:tc>
          <w:tcPr>
            <w:tcW w:type="dxa" w:w="2154"/>
            <w:shd w:val="clear" w:fill="F2F6F3"/>
          </w:tcPr>
          <w:p>
            <w:pPr>
              <w:spacing w:after="40"/>
            </w:pPr>
            <w:r>
              <w:rPr>
                <w:rFonts w:ascii="宋体" w:hAnsi="宋体" w:eastAsia="宋体"/>
                <w:b/>
                <w:sz w:val="21"/>
              </w:rPr>
              <w:t>不砍伐、不破坏任何树木</w:t>
            </w:r>
          </w:p>
        </w:tc>
        <w:tc>
          <w:tcPr>
            <w:tcW w:type="dxa" w:w="3742"/>
            <w:shd w:val="clear" w:fill="F2F6F3"/>
          </w:tcPr>
          <w:p>
            <w:pPr>
              <w:spacing w:after="40"/>
            </w:pPr>
            <w:r>
              <w:rPr>
                <w:rFonts w:ascii="宋体" w:hAnsi="宋体" w:eastAsia="宋体"/>
                <w:b w:val="0"/>
                <w:sz w:val="21"/>
              </w:rPr>
              <w:t>设计避让全部现状乔木，施工设置树木保护范围</w:t>
            </w:r>
          </w:p>
        </w:tc>
        <w:tc>
          <w:tcPr>
            <w:tcW w:type="dxa" w:w="3175"/>
            <w:shd w:val="clear" w:fill="F2F6F3"/>
          </w:tcPr>
          <w:p>
            <w:pPr>
              <w:spacing w:after="40"/>
            </w:pPr>
            <w:r>
              <w:rPr>
                <w:rFonts w:ascii="宋体" w:hAnsi="宋体" w:eastAsia="宋体"/>
                <w:b w:val="0"/>
                <w:sz w:val="21"/>
              </w:rPr>
              <w:t>保存95%绿化覆盖率的核心本底</w:t>
            </w:r>
          </w:p>
        </w:tc>
      </w:tr>
      <w:tr>
        <w:tc>
          <w:tcPr>
            <w:tcW w:type="dxa" w:w="2154"/>
          </w:tcPr>
          <w:p>
            <w:pPr>
              <w:spacing w:after="40"/>
            </w:pPr>
            <w:r>
              <w:rPr>
                <w:rFonts w:ascii="宋体" w:hAnsi="宋体" w:eastAsia="宋体"/>
                <w:b/>
                <w:sz w:val="21"/>
              </w:rPr>
              <w:t>不新增林地占用</w:t>
            </w:r>
          </w:p>
        </w:tc>
        <w:tc>
          <w:tcPr>
            <w:tcW w:type="dxa" w:w="3742"/>
          </w:tcPr>
          <w:p>
            <w:pPr>
              <w:spacing w:after="40"/>
            </w:pPr>
            <w:r>
              <w:rPr>
                <w:rFonts w:ascii="宋体" w:hAnsi="宋体" w:eastAsia="宋体"/>
                <w:b w:val="0"/>
                <w:sz w:val="21"/>
              </w:rPr>
              <w:t>所有设施为可移动、可组装式，运营结束后可完全恢复原貌</w:t>
            </w:r>
          </w:p>
        </w:tc>
        <w:tc>
          <w:tcPr>
            <w:tcW w:type="dxa" w:w="3175"/>
          </w:tcPr>
          <w:p>
            <w:pPr>
              <w:spacing w:after="40"/>
            </w:pPr>
            <w:r>
              <w:rPr>
                <w:rFonts w:ascii="宋体" w:hAnsi="宋体" w:eastAsia="宋体"/>
                <w:b w:val="0"/>
                <w:sz w:val="21"/>
              </w:rPr>
              <w:t>满足林地管理要求，投资灵活可退出</w:t>
            </w:r>
          </w:p>
        </w:tc>
      </w:tr>
      <w:tr>
        <w:tc>
          <w:tcPr>
            <w:tcW w:type="dxa" w:w="2154"/>
            <w:shd w:val="clear" w:fill="F2F6F3"/>
          </w:tcPr>
          <w:p>
            <w:pPr>
              <w:spacing w:after="40"/>
            </w:pPr>
            <w:r>
              <w:rPr>
                <w:rFonts w:ascii="宋体" w:hAnsi="宋体" w:eastAsia="宋体"/>
                <w:b/>
                <w:sz w:val="21"/>
              </w:rPr>
              <w:t>架空架设不占地</w:t>
            </w:r>
          </w:p>
        </w:tc>
        <w:tc>
          <w:tcPr>
            <w:tcW w:type="dxa" w:w="3742"/>
            <w:shd w:val="clear" w:fill="F2F6F3"/>
          </w:tcPr>
          <w:p>
            <w:pPr>
              <w:spacing w:after="40"/>
            </w:pPr>
            <w:r>
              <w:rPr>
                <w:rFonts w:ascii="宋体" w:hAnsi="宋体" w:eastAsia="宋体"/>
                <w:b w:val="0"/>
                <w:sz w:val="21"/>
              </w:rPr>
              <w:t>观景类项目采用架空桁架结构，不接触地面植被</w:t>
            </w:r>
          </w:p>
        </w:tc>
        <w:tc>
          <w:tcPr>
            <w:tcW w:type="dxa" w:w="3175"/>
            <w:shd w:val="clear" w:fill="F2F6F3"/>
          </w:tcPr>
          <w:p>
            <w:pPr>
              <w:spacing w:after="40"/>
            </w:pPr>
            <w:r>
              <w:rPr>
                <w:rFonts w:ascii="宋体" w:hAnsi="宋体" w:eastAsia="宋体"/>
                <w:b w:val="0"/>
                <w:sz w:val="21"/>
              </w:rPr>
              <w:t>林上空间利用，形成差异化体验产品</w:t>
            </w:r>
          </w:p>
        </w:tc>
      </w:tr>
    </w:tbl>
    <w:p>
      <w:pPr>
        <w:spacing w:after="40"/>
      </w:pPr>
    </w:p>
    <w:p>
      <w:pPr>
        <w:spacing w:after="120" w:line="336" w:lineRule="auto"/>
        <w:ind w:firstLine="480"/>
      </w:pPr>
      <w:r>
        <w:rPr>
          <w:rFonts w:ascii="宋体" w:hAnsi="宋体" w:eastAsia="宋体"/>
          <w:b w:val="0"/>
          <w:sz w:val="24"/>
        </w:rPr>
        <w:t>上述原则既是生态承诺，也是本项目的产品逻辑：以“轻资产、可移动、架空化”设施撬动“重资源”（百年文化山体+城市中心区位）的价值释放。</w:t>
      </w:r>
    </w:p>
    <w:p>
      <w:pPr>
        <w:spacing w:before="360" w:after="200"/>
        <w:keepNext/>
        <w:pBdr>
          <w:bottom w:val="single" w:sz="12" w:space="4" w:color="2E6E4E"/>
        </w:pBdr>
      </w:pPr>
      <w:r>
        <w:rPr>
          <w:rFonts w:ascii="微软雅黑" w:hAnsi="微软雅黑" w:eastAsia="微软雅黑"/>
          <w:b/>
          <w:color w:val="2E6E4E"/>
          <w:sz w:val="32"/>
        </w:rPr>
        <w:t>二　公园历史、文化及土地资源梳理</w:t>
      </w:r>
    </w:p>
    <w:p>
      <w:pPr>
        <w:keepNext/>
        <w:spacing w:before="240" w:after="120"/>
      </w:pPr>
      <w:r>
        <w:rPr>
          <w:rFonts w:ascii="微软雅黑" w:hAnsi="微软雅黑" w:eastAsia="微软雅黑"/>
          <w:b/>
          <w:color w:val="333333"/>
          <w:sz w:val="27"/>
        </w:rPr>
        <w:t>2.1 历史沿革：一座与通化同龄的山</w:t>
      </w:r>
    </w:p>
    <w:p>
      <w:pPr>
        <w:spacing w:after="120" w:line="336" w:lineRule="auto"/>
        <w:ind w:firstLine="480"/>
      </w:pPr>
      <w:r>
        <w:rPr>
          <w:rFonts w:ascii="宋体" w:hAnsi="宋体" w:eastAsia="宋体"/>
          <w:b w:val="0"/>
          <w:sz w:val="24"/>
        </w:rPr>
        <w:t>对通化人而言，1877年（光绪三年）是一个特殊年份：这一年通化设治，玉皇阁初建，玉皇山得名——“通化”“玉皇阁”“玉皇山”三个符号同年诞生，成为这座城市地域文化和乡土情怀的共同载体。</w:t>
      </w:r>
    </w:p>
    <w:tbl>
      <w:tblPr>
        <w:tblStyle w:val="TableGrid"/>
        <w:tblW w:type="auto" w:w="0"/>
        <w:jc w:val="center"/>
        <w:tblLook w:firstColumn="1" w:firstRow="1" w:lastColumn="0" w:lastRow="0" w:noHBand="0" w:noVBand="1" w:val="04A0"/>
      </w:tblPr>
      <w:tblGrid>
        <w:gridCol w:w="3024"/>
        <w:gridCol w:w="3024"/>
        <w:gridCol w:w="3024"/>
      </w:tblGrid>
      <w:tr>
        <w:tc>
          <w:tcPr>
            <w:tcW w:type="dxa" w:w="2041"/>
            <w:shd w:val="clear" w:fill="2E6E4E"/>
          </w:tcPr>
          <w:p>
            <w:pPr>
              <w:jc w:val="center"/>
            </w:pPr>
            <w:r>
              <w:rPr>
                <w:rFonts w:ascii="微软雅黑" w:hAnsi="微软雅黑" w:eastAsia="微软雅黑"/>
                <w:b/>
                <w:color w:val="FFFFFF"/>
                <w:sz w:val="21"/>
              </w:rPr>
              <w:t>时间</w:t>
            </w:r>
          </w:p>
        </w:tc>
        <w:tc>
          <w:tcPr>
            <w:tcW w:type="dxa" w:w="4195"/>
            <w:shd w:val="clear" w:fill="2E6E4E"/>
          </w:tcPr>
          <w:p>
            <w:pPr>
              <w:jc w:val="center"/>
            </w:pPr>
            <w:r>
              <w:rPr>
                <w:rFonts w:ascii="微软雅黑" w:hAnsi="微软雅黑" w:eastAsia="微软雅黑"/>
                <w:b/>
                <w:color w:val="FFFFFF"/>
                <w:sz w:val="21"/>
              </w:rPr>
              <w:t>事件</w:t>
            </w:r>
          </w:p>
        </w:tc>
        <w:tc>
          <w:tcPr>
            <w:tcW w:type="dxa" w:w="2835"/>
            <w:shd w:val="clear" w:fill="2E6E4E"/>
          </w:tcPr>
          <w:p>
            <w:pPr>
              <w:jc w:val="center"/>
            </w:pPr>
            <w:r>
              <w:rPr>
                <w:rFonts w:ascii="微软雅黑" w:hAnsi="微软雅黑" w:eastAsia="微软雅黑"/>
                <w:b/>
                <w:color w:val="FFFFFF"/>
                <w:sz w:val="21"/>
              </w:rPr>
              <w:t>意义</w:t>
            </w:r>
          </w:p>
        </w:tc>
      </w:tr>
      <w:tr>
        <w:tc>
          <w:tcPr>
            <w:tcW w:type="dxa" w:w="2041"/>
          </w:tcPr>
          <w:p>
            <w:pPr>
              <w:spacing w:after="40"/>
            </w:pPr>
            <w:r>
              <w:rPr>
                <w:rFonts w:ascii="宋体" w:hAnsi="宋体" w:eastAsia="宋体"/>
                <w:b/>
                <w:sz w:val="21"/>
              </w:rPr>
              <w:t>1877年（光绪三年）</w:t>
            </w:r>
          </w:p>
        </w:tc>
        <w:tc>
          <w:tcPr>
            <w:tcW w:type="dxa" w:w="4195"/>
          </w:tcPr>
          <w:p>
            <w:pPr>
              <w:spacing w:after="40"/>
            </w:pPr>
            <w:r>
              <w:rPr>
                <w:rFonts w:ascii="宋体" w:hAnsi="宋体" w:eastAsia="宋体"/>
                <w:b w:val="0"/>
                <w:sz w:val="21"/>
              </w:rPr>
              <w:t>通化设治；全真龙门派李氏兄弟建庙三间，名玉皇阁，山因阁得名</w:t>
            </w:r>
          </w:p>
        </w:tc>
        <w:tc>
          <w:tcPr>
            <w:tcW w:type="dxa" w:w="2835"/>
          </w:tcPr>
          <w:p>
            <w:pPr>
              <w:spacing w:after="40"/>
            </w:pPr>
            <w:r>
              <w:rPr>
                <w:rFonts w:ascii="宋体" w:hAnsi="宋体" w:eastAsia="宋体"/>
                <w:b w:val="0"/>
                <w:sz w:val="21"/>
              </w:rPr>
              <w:t>城、阁、山同龄，城市记忆原点</w:t>
            </w:r>
          </w:p>
        </w:tc>
      </w:tr>
      <w:tr>
        <w:tc>
          <w:tcPr>
            <w:tcW w:type="dxa" w:w="2041"/>
            <w:shd w:val="clear" w:fill="F2F6F3"/>
          </w:tcPr>
          <w:p>
            <w:pPr>
              <w:spacing w:after="40"/>
            </w:pPr>
            <w:r>
              <w:rPr>
                <w:rFonts w:ascii="宋体" w:hAnsi="宋体" w:eastAsia="宋体"/>
                <w:b/>
                <w:sz w:val="21"/>
              </w:rPr>
              <w:t>1891年（光绪十七年）</w:t>
            </w:r>
          </w:p>
        </w:tc>
        <w:tc>
          <w:tcPr>
            <w:tcW w:type="dxa" w:w="4195"/>
            <w:shd w:val="clear" w:fill="F2F6F3"/>
          </w:tcPr>
          <w:p>
            <w:pPr>
              <w:spacing w:after="40"/>
            </w:pPr>
            <w:r>
              <w:rPr>
                <w:rFonts w:ascii="宋体" w:hAnsi="宋体" w:eastAsia="宋体"/>
                <w:b w:val="0"/>
                <w:sz w:val="21"/>
              </w:rPr>
              <w:t>玉皇阁首次扩建</w:t>
            </w:r>
          </w:p>
        </w:tc>
        <w:tc>
          <w:tcPr>
            <w:tcW w:type="dxa" w:w="2835"/>
            <w:shd w:val="clear" w:fill="F2F6F3"/>
          </w:tcPr>
          <w:p>
            <w:pPr>
              <w:spacing w:after="40"/>
            </w:pPr>
            <w:r>
              <w:rPr>
                <w:rFonts w:ascii="宋体" w:hAnsi="宋体" w:eastAsia="宋体"/>
                <w:b w:val="0"/>
                <w:sz w:val="21"/>
              </w:rPr>
              <w:t>宗教与民俗活动中心地位确立</w:t>
            </w:r>
          </w:p>
        </w:tc>
      </w:tr>
      <w:tr>
        <w:tc>
          <w:tcPr>
            <w:tcW w:type="dxa" w:w="2041"/>
          </w:tcPr>
          <w:p>
            <w:pPr>
              <w:spacing w:after="40"/>
            </w:pPr>
            <w:r>
              <w:rPr>
                <w:rFonts w:ascii="宋体" w:hAnsi="宋体" w:eastAsia="宋体"/>
                <w:b/>
                <w:sz w:val="21"/>
              </w:rPr>
              <w:t>1920年（民国九年）</w:t>
            </w:r>
          </w:p>
        </w:tc>
        <w:tc>
          <w:tcPr>
            <w:tcW w:type="dxa" w:w="4195"/>
          </w:tcPr>
          <w:p>
            <w:pPr>
              <w:spacing w:after="40"/>
            </w:pPr>
            <w:r>
              <w:rPr>
                <w:rFonts w:ascii="宋体" w:hAnsi="宋体" w:eastAsia="宋体"/>
                <w:b w:val="0"/>
                <w:sz w:val="21"/>
              </w:rPr>
              <w:t>通化县知事潘德荃主持改建，增建关岳庙、龙王庙、老母庙</w:t>
            </w:r>
          </w:p>
        </w:tc>
        <w:tc>
          <w:tcPr>
            <w:tcW w:type="dxa" w:w="2835"/>
          </w:tcPr>
          <w:p>
            <w:pPr>
              <w:spacing w:after="40"/>
            </w:pPr>
            <w:r>
              <w:rPr>
                <w:rFonts w:ascii="宋体" w:hAnsi="宋体" w:eastAsia="宋体"/>
                <w:b w:val="0"/>
                <w:sz w:val="21"/>
              </w:rPr>
              <w:t>官方参与，成为区域信仰中心</w:t>
            </w:r>
          </w:p>
        </w:tc>
      </w:tr>
      <w:tr>
        <w:tc>
          <w:tcPr>
            <w:tcW w:type="dxa" w:w="2041"/>
            <w:shd w:val="clear" w:fill="F2F6F3"/>
          </w:tcPr>
          <w:p>
            <w:pPr>
              <w:spacing w:after="40"/>
            </w:pPr>
            <w:r>
              <w:rPr>
                <w:rFonts w:ascii="宋体" w:hAnsi="宋体" w:eastAsia="宋体"/>
                <w:b/>
                <w:sz w:val="21"/>
              </w:rPr>
              <w:t>1933年</w:t>
            </w:r>
          </w:p>
        </w:tc>
        <w:tc>
          <w:tcPr>
            <w:tcW w:type="dxa" w:w="4195"/>
            <w:shd w:val="clear" w:fill="F2F6F3"/>
          </w:tcPr>
          <w:p>
            <w:pPr>
              <w:spacing w:after="40"/>
            </w:pPr>
            <w:r>
              <w:rPr>
                <w:rFonts w:ascii="宋体" w:hAnsi="宋体" w:eastAsia="宋体"/>
                <w:b w:val="0"/>
                <w:sz w:val="21"/>
              </w:rPr>
              <w:t>扩建玉皇大帝殿、太上老君中殿，钟鼓二楼东西分峙</w:t>
            </w:r>
          </w:p>
        </w:tc>
        <w:tc>
          <w:tcPr>
            <w:tcW w:type="dxa" w:w="2835"/>
            <w:shd w:val="clear" w:fill="F2F6F3"/>
          </w:tcPr>
          <w:p>
            <w:pPr>
              <w:spacing w:after="40"/>
            </w:pPr>
            <w:r>
              <w:rPr>
                <w:rFonts w:ascii="宋体" w:hAnsi="宋体" w:eastAsia="宋体"/>
                <w:b w:val="0"/>
                <w:sz w:val="21"/>
              </w:rPr>
              <w:t>建筑格局成型，隶属庙宇达十三座</w:t>
            </w:r>
          </w:p>
        </w:tc>
      </w:tr>
      <w:tr>
        <w:tc>
          <w:tcPr>
            <w:tcW w:type="dxa" w:w="2041"/>
          </w:tcPr>
          <w:p>
            <w:pPr>
              <w:spacing w:after="40"/>
            </w:pPr>
            <w:r>
              <w:rPr>
                <w:rFonts w:ascii="宋体" w:hAnsi="宋体" w:eastAsia="宋体"/>
                <w:b/>
                <w:sz w:val="21"/>
              </w:rPr>
              <w:t>1966年</w:t>
            </w:r>
          </w:p>
        </w:tc>
        <w:tc>
          <w:tcPr>
            <w:tcW w:type="dxa" w:w="4195"/>
          </w:tcPr>
          <w:p>
            <w:pPr>
              <w:spacing w:after="40"/>
            </w:pPr>
            <w:r>
              <w:rPr>
                <w:rFonts w:ascii="宋体" w:hAnsi="宋体" w:eastAsia="宋体"/>
                <w:b w:val="0"/>
                <w:sz w:val="21"/>
              </w:rPr>
              <w:t>建筑遭破坏</w:t>
            </w:r>
          </w:p>
        </w:tc>
        <w:tc>
          <w:tcPr>
            <w:tcW w:type="dxa" w:w="2835"/>
          </w:tcPr>
          <w:p>
            <w:pPr>
              <w:spacing w:after="40"/>
            </w:pPr>
            <w:r>
              <w:rPr>
                <w:rFonts w:ascii="宋体" w:hAnsi="宋体" w:eastAsia="宋体"/>
                <w:b w:val="0"/>
                <w:sz w:val="21"/>
              </w:rPr>
              <w:t>历史断层，记忆载体受损</w:t>
            </w:r>
          </w:p>
        </w:tc>
      </w:tr>
      <w:tr>
        <w:tc>
          <w:tcPr>
            <w:tcW w:type="dxa" w:w="2041"/>
            <w:shd w:val="clear" w:fill="F2F6F3"/>
          </w:tcPr>
          <w:p>
            <w:pPr>
              <w:spacing w:after="40"/>
            </w:pPr>
            <w:r>
              <w:rPr>
                <w:rFonts w:ascii="宋体" w:hAnsi="宋体" w:eastAsia="宋体"/>
                <w:b/>
                <w:sz w:val="21"/>
              </w:rPr>
              <w:t>1984年</w:t>
            </w:r>
          </w:p>
        </w:tc>
        <w:tc>
          <w:tcPr>
            <w:tcW w:type="dxa" w:w="4195"/>
            <w:shd w:val="clear" w:fill="F2F6F3"/>
          </w:tcPr>
          <w:p>
            <w:pPr>
              <w:spacing w:after="40"/>
            </w:pPr>
            <w:r>
              <w:rPr>
                <w:rFonts w:ascii="宋体" w:hAnsi="宋体" w:eastAsia="宋体"/>
                <w:b w:val="0"/>
                <w:sz w:val="21"/>
              </w:rPr>
              <w:t>修复一、二进大殿及东西钟鼓二楼，成今日之貌</w:t>
            </w:r>
          </w:p>
        </w:tc>
        <w:tc>
          <w:tcPr>
            <w:tcW w:type="dxa" w:w="2835"/>
            <w:shd w:val="clear" w:fill="F2F6F3"/>
          </w:tcPr>
          <w:p>
            <w:pPr>
              <w:spacing w:after="40"/>
            </w:pPr>
            <w:r>
              <w:rPr>
                <w:rFonts w:ascii="宋体" w:hAnsi="宋体" w:eastAsia="宋体"/>
                <w:b w:val="0"/>
                <w:sz w:val="21"/>
              </w:rPr>
              <w:t>文化复苏，公园功能恢复</w:t>
            </w:r>
          </w:p>
        </w:tc>
      </w:tr>
      <w:tr>
        <w:tc>
          <w:tcPr>
            <w:tcW w:type="dxa" w:w="2041"/>
          </w:tcPr>
          <w:p>
            <w:pPr>
              <w:spacing w:after="40"/>
            </w:pPr>
            <w:r>
              <w:rPr>
                <w:rFonts w:ascii="宋体" w:hAnsi="宋体" w:eastAsia="宋体"/>
                <w:b/>
                <w:sz w:val="21"/>
              </w:rPr>
              <w:t>2007年</w:t>
            </w:r>
          </w:p>
        </w:tc>
        <w:tc>
          <w:tcPr>
            <w:tcW w:type="dxa" w:w="4195"/>
          </w:tcPr>
          <w:p>
            <w:pPr>
              <w:spacing w:after="40"/>
            </w:pPr>
            <w:r>
              <w:rPr>
                <w:rFonts w:ascii="宋体" w:hAnsi="宋体" w:eastAsia="宋体"/>
                <w:b w:val="0"/>
                <w:sz w:val="21"/>
              </w:rPr>
              <w:t>玉皇阁列为吉林省文物保护单位</w:t>
            </w:r>
          </w:p>
        </w:tc>
        <w:tc>
          <w:tcPr>
            <w:tcW w:type="dxa" w:w="2835"/>
          </w:tcPr>
          <w:p>
            <w:pPr>
              <w:spacing w:after="40"/>
            </w:pPr>
            <w:r>
              <w:rPr>
                <w:rFonts w:ascii="宋体" w:hAnsi="宋体" w:eastAsia="宋体"/>
                <w:b w:val="0"/>
                <w:sz w:val="21"/>
              </w:rPr>
              <w:t>文化价值获得省级确认</w:t>
            </w:r>
          </w:p>
        </w:tc>
      </w:tr>
      <w:tr>
        <w:tc>
          <w:tcPr>
            <w:tcW w:type="dxa" w:w="2041"/>
            <w:shd w:val="clear" w:fill="F2F6F3"/>
          </w:tcPr>
          <w:p>
            <w:pPr>
              <w:spacing w:after="40"/>
            </w:pPr>
            <w:r>
              <w:rPr>
                <w:rFonts w:ascii="宋体" w:hAnsi="宋体" w:eastAsia="宋体"/>
                <w:b/>
                <w:sz w:val="21"/>
              </w:rPr>
              <w:t>2025—2026年</w:t>
            </w:r>
          </w:p>
        </w:tc>
        <w:tc>
          <w:tcPr>
            <w:tcW w:type="dxa" w:w="4195"/>
            <w:shd w:val="clear" w:fill="F2F6F3"/>
          </w:tcPr>
          <w:p>
            <w:pPr>
              <w:spacing w:after="40"/>
            </w:pPr>
            <w:r>
              <w:rPr>
                <w:rFonts w:ascii="宋体" w:hAnsi="宋体" w:eastAsia="宋体"/>
                <w:b w:val="0"/>
                <w:sz w:val="21"/>
              </w:rPr>
              <w:t>沈白高铁、G331双线贯通，通化迈入高铁时代；万峰成为百万级雪场</w:t>
            </w:r>
          </w:p>
        </w:tc>
        <w:tc>
          <w:tcPr>
            <w:tcW w:type="dxa" w:w="2835"/>
            <w:shd w:val="clear" w:fill="F2F6F3"/>
          </w:tcPr>
          <w:p>
            <w:pPr>
              <w:spacing w:after="40"/>
            </w:pPr>
            <w:r>
              <w:rPr>
                <w:rFonts w:ascii="宋体" w:hAnsi="宋体" w:eastAsia="宋体"/>
                <w:b w:val="0"/>
                <w:sz w:val="21"/>
              </w:rPr>
              <w:t>公园升级改造迎来历史性窗口期</w:t>
            </w:r>
          </w:p>
        </w:tc>
      </w:tr>
    </w:tbl>
    <w:p>
      <w:pPr>
        <w:spacing w:after="40"/>
      </w:pPr>
    </w:p>
    <w:p>
      <w:pPr>
        <w:keepNext/>
        <w:spacing w:before="240" w:after="120"/>
      </w:pPr>
      <w:r>
        <w:rPr>
          <w:rFonts w:ascii="微软雅黑" w:hAnsi="微软雅黑" w:eastAsia="微软雅黑"/>
          <w:b/>
          <w:color w:val="333333"/>
          <w:sz w:val="27"/>
        </w:rPr>
        <w:t>2.2 文化资源盘点</w:t>
      </w:r>
    </w:p>
    <w:p>
      <w:pPr>
        <w:pStyle w:val="ListBullet"/>
        <w:spacing w:after="60" w:line="324" w:lineRule="auto"/>
      </w:pPr>
      <w:r>
        <w:rPr>
          <w:rFonts w:ascii="宋体" w:hAnsi="宋体" w:eastAsia="宋体"/>
          <w:b/>
          <w:color w:val="333333"/>
          <w:sz w:val="24"/>
        </w:rPr>
        <w:t>道教祖庭文化：</w:t>
      </w:r>
      <w:r>
        <w:rPr>
          <w:rFonts w:ascii="宋体" w:hAnsi="宋体" w:eastAsia="宋体"/>
          <w:b w:val="0"/>
          <w:sz w:val="24"/>
        </w:rPr>
        <w:t>玉皇阁（又称天成宫）为通化现存最早、保存完好的古建筑，占地约2860平方米、建筑面积约1600平方米，被誉为吉林省道教祖庭、道教发源地，常年香火不断，2007年列为省级文物保护单位。</w:t>
      </w:r>
    </w:p>
    <w:p>
      <w:pPr>
        <w:pStyle w:val="ListBullet"/>
        <w:spacing w:after="60" w:line="324" w:lineRule="auto"/>
      </w:pPr>
      <w:r>
        <w:rPr>
          <w:rFonts w:ascii="宋体" w:hAnsi="宋体" w:eastAsia="宋体"/>
          <w:b/>
          <w:color w:val="333333"/>
          <w:sz w:val="24"/>
        </w:rPr>
        <w:t>庙会民俗文化：</w:t>
      </w:r>
      <w:r>
        <w:rPr>
          <w:rFonts w:ascii="宋体" w:hAnsi="宋体" w:eastAsia="宋体"/>
          <w:b w:val="0"/>
          <w:sz w:val="24"/>
        </w:rPr>
        <w:t>每年农历四月十八庙会，方圆百里民众云集，人声鼎沸，是通化延续百余年的活态民俗，也是天然的节庆流量入口。</w:t>
      </w:r>
    </w:p>
    <w:p>
      <w:pPr>
        <w:pStyle w:val="ListBullet"/>
        <w:spacing w:after="60" w:line="324" w:lineRule="auto"/>
      </w:pPr>
      <w:r>
        <w:rPr>
          <w:rFonts w:ascii="宋体" w:hAnsi="宋体" w:eastAsia="宋体"/>
          <w:b/>
          <w:color w:val="333333"/>
          <w:sz w:val="24"/>
        </w:rPr>
        <w:t>石刻诗文文化：</w:t>
      </w:r>
      <w:r>
        <w:rPr>
          <w:rFonts w:ascii="宋体" w:hAnsi="宋体" w:eastAsia="宋体"/>
          <w:b w:val="0"/>
          <w:sz w:val="24"/>
        </w:rPr>
        <w:t>历代文人墨客在山中留下诗词歌赋与摩崖石刻，通化县志载诗“万山低首玉皇高，五岳归来又与豪”，具备文化景观转译与研学开发价值。</w:t>
      </w:r>
    </w:p>
    <w:p>
      <w:pPr>
        <w:pStyle w:val="ListBullet"/>
        <w:spacing w:after="60" w:line="324" w:lineRule="auto"/>
      </w:pPr>
      <w:r>
        <w:rPr>
          <w:rFonts w:ascii="宋体" w:hAnsi="宋体" w:eastAsia="宋体"/>
          <w:b/>
          <w:color w:val="333333"/>
          <w:sz w:val="24"/>
        </w:rPr>
        <w:t>红色记忆文化：</w:t>
      </w:r>
      <w:r>
        <w:rPr>
          <w:rFonts w:ascii="宋体" w:hAnsi="宋体" w:eastAsia="宋体"/>
          <w:b w:val="0"/>
          <w:sz w:val="24"/>
        </w:rPr>
        <w:t>玉皇山见证通化兴衰，山中留有战争岁月痕迹与英雄事迹记忆，与通化“东北抗联红色之城”定位可形成呼应。</w:t>
      </w:r>
    </w:p>
    <w:p>
      <w:pPr>
        <w:pStyle w:val="ListBullet"/>
        <w:spacing w:after="60" w:line="324" w:lineRule="auto"/>
      </w:pPr>
      <w:r>
        <w:rPr>
          <w:rFonts w:ascii="宋体" w:hAnsi="宋体" w:eastAsia="宋体"/>
          <w:b/>
          <w:color w:val="333333"/>
          <w:sz w:val="24"/>
        </w:rPr>
        <w:t>登临观景文化：</w:t>
      </w:r>
      <w:r>
        <w:rPr>
          <w:rFonts w:ascii="宋体" w:hAnsi="宋体" w:eastAsia="宋体"/>
          <w:b w:val="0"/>
          <w:sz w:val="24"/>
        </w:rPr>
        <w:t>望江亭、九龙亭等园林建筑与山巅观城视野，构成“登山望城、凭栏阅江”的传统登临文化场景。</w:t>
      </w:r>
    </w:p>
    <w:p>
      <w:pPr>
        <w:keepNext/>
        <w:spacing w:before="240" w:after="120"/>
      </w:pPr>
      <w:r>
        <w:rPr>
          <w:rFonts w:ascii="微软雅黑" w:hAnsi="微软雅黑" w:eastAsia="微软雅黑"/>
          <w:b/>
          <w:color w:val="333333"/>
          <w:sz w:val="27"/>
        </w:rPr>
        <w:t>2.3 土地与生态资源</w:t>
      </w:r>
    </w:p>
    <w:p>
      <w:pPr>
        <w:pStyle w:val="ListBullet"/>
        <w:spacing w:after="60" w:line="324" w:lineRule="auto"/>
      </w:pPr>
      <w:r>
        <w:rPr>
          <w:rFonts w:ascii="宋体" w:hAnsi="宋体" w:eastAsia="宋体"/>
          <w:b/>
          <w:color w:val="333333"/>
          <w:sz w:val="24"/>
        </w:rPr>
        <w:t>权属资源：</w:t>
      </w:r>
      <w:r>
        <w:rPr>
          <w:rFonts w:ascii="宋体" w:hAnsi="宋体" w:eastAsia="宋体"/>
          <w:b w:val="0"/>
          <w:sz w:val="24"/>
        </w:rPr>
        <w:t>45,000平方米建设用地（已取得土地证）+约505,011平方米确权林地，权属清晰、边界完整，是通化市区极为稀缺的可运营山地空间。</w:t>
      </w:r>
    </w:p>
    <w:p>
      <w:pPr>
        <w:pStyle w:val="ListBullet"/>
        <w:spacing w:after="60" w:line="324" w:lineRule="auto"/>
      </w:pPr>
      <w:r>
        <w:rPr>
          <w:rFonts w:ascii="宋体" w:hAnsi="宋体" w:eastAsia="宋体"/>
          <w:b/>
          <w:color w:val="333333"/>
          <w:sz w:val="24"/>
        </w:rPr>
        <w:t>生态资源：</w:t>
      </w:r>
      <w:r>
        <w:rPr>
          <w:rFonts w:ascii="宋体" w:hAnsi="宋体" w:eastAsia="宋体"/>
          <w:b w:val="0"/>
          <w:sz w:val="24"/>
        </w:rPr>
        <w:t>平均海拔430米、绿化覆盖率95%，长白山余脉森林本底；通化森林覆盖率66.64%、夏季平均气温约22℃，公园即“城市中央空调”。</w:t>
      </w:r>
    </w:p>
    <w:p>
      <w:pPr>
        <w:pStyle w:val="ListBullet"/>
        <w:spacing w:after="60" w:line="324" w:lineRule="auto"/>
      </w:pPr>
      <w:r>
        <w:rPr>
          <w:rFonts w:ascii="宋体" w:hAnsi="宋体" w:eastAsia="宋体"/>
          <w:b/>
          <w:color w:val="333333"/>
          <w:sz w:val="24"/>
        </w:rPr>
        <w:t>空间资源：</w:t>
      </w:r>
      <w:r>
        <w:rPr>
          <w:rFonts w:ascii="宋体" w:hAnsi="宋体" w:eastAsia="宋体"/>
          <w:b w:val="0"/>
          <w:sz w:val="24"/>
        </w:rPr>
        <w:t>前山观赏娱乐区+后山静憩区的既有分区，以及既有广场、园路、庭院、建筑等硬化场地，为“零扰动”布设经营设施提供了充足载体。</w:t>
      </w:r>
    </w:p>
    <w:p>
      <w:pPr>
        <w:keepNext/>
        <w:spacing w:before="240" w:after="120"/>
      </w:pPr>
      <w:r>
        <w:rPr>
          <w:rFonts w:ascii="微软雅黑" w:hAnsi="微软雅黑" w:eastAsia="微软雅黑"/>
          <w:b/>
          <w:color w:val="333333"/>
          <w:sz w:val="27"/>
        </w:rPr>
        <w:t>2.4 城市记忆价值</w:t>
      </w:r>
    </w:p>
    <w:p>
      <w:pPr>
        <w:spacing w:after="120" w:line="336" w:lineRule="auto"/>
        <w:ind w:firstLine="480"/>
      </w:pPr>
      <w:r>
        <w:rPr>
          <w:rFonts w:ascii="宋体" w:hAnsi="宋体" w:eastAsia="宋体"/>
          <w:b w:val="0"/>
          <w:sz w:val="24"/>
        </w:rPr>
        <w:t>玉皇山陪伴通化走过140余年，几代通化人在此登山、赶庙会、望江、留影，它承载的不是单一景点记忆，而是全体市民的集体乡愁。“与通化同龄”是玉皇山不可复制的第一价值：改造不是造一个新景区，而是唤醒一座城市的记忆母体。这决定了改造的基调——修旧、焕新、不失魂。</w:t>
      </w:r>
    </w:p>
    <w:p>
      <w:pPr>
        <w:keepNext/>
        <w:spacing w:before="240" w:after="120"/>
      </w:pPr>
      <w:r>
        <w:rPr>
          <w:rFonts w:ascii="微软雅黑" w:hAnsi="微软雅黑" w:eastAsia="微软雅黑"/>
          <w:b/>
          <w:color w:val="333333"/>
          <w:sz w:val="27"/>
        </w:rPr>
        <w:t>2.5 城市空间价值</w:t>
      </w:r>
    </w:p>
    <w:p>
      <w:pPr>
        <w:pStyle w:val="ListBullet"/>
        <w:spacing w:after="60" w:line="324" w:lineRule="auto"/>
      </w:pPr>
      <w:r>
        <w:rPr>
          <w:rFonts w:ascii="宋体" w:hAnsi="宋体" w:eastAsia="宋体"/>
          <w:b/>
          <w:color w:val="333333"/>
          <w:sz w:val="24"/>
        </w:rPr>
        <w:t>城市绿心：</w:t>
      </w:r>
      <w:r>
        <w:rPr>
          <w:rFonts w:ascii="宋体" w:hAnsi="宋体" w:eastAsia="宋体"/>
          <w:b w:val="0"/>
          <w:sz w:val="24"/>
        </w:rPr>
        <w:t>公园是通化中心城区规模最大的绿色开敞空间，是城市生态格局中“山—城—江”序列的关键锚点。</w:t>
      </w:r>
    </w:p>
    <w:p>
      <w:pPr>
        <w:pStyle w:val="ListBullet"/>
        <w:spacing w:after="60" w:line="324" w:lineRule="auto"/>
      </w:pPr>
      <w:r>
        <w:rPr>
          <w:rFonts w:ascii="宋体" w:hAnsi="宋体" w:eastAsia="宋体"/>
          <w:b/>
          <w:color w:val="333333"/>
          <w:sz w:val="24"/>
        </w:rPr>
        <w:t>城市阳台：</w:t>
      </w:r>
      <w:r>
        <w:rPr>
          <w:rFonts w:ascii="宋体" w:hAnsi="宋体" w:eastAsia="宋体"/>
          <w:b w:val="0"/>
          <w:sz w:val="24"/>
        </w:rPr>
        <w:t>山巅可360°俯瞰通化城区与浑江曲线，是全市唯一的城市级天然观景台，具备打造城市地标级夜景观赏点的天然条件。</w:t>
      </w:r>
    </w:p>
    <w:p>
      <w:pPr>
        <w:pStyle w:val="ListBullet"/>
        <w:spacing w:after="60" w:line="324" w:lineRule="auto"/>
      </w:pPr>
      <w:r>
        <w:rPr>
          <w:rFonts w:ascii="宋体" w:hAnsi="宋体" w:eastAsia="宋体"/>
          <w:b/>
          <w:color w:val="333333"/>
          <w:sz w:val="24"/>
        </w:rPr>
        <w:t>城市客厅：</w:t>
      </w:r>
      <w:r>
        <w:rPr>
          <w:rFonts w:ascii="宋体" w:hAnsi="宋体" w:eastAsia="宋体"/>
          <w:b w:val="0"/>
          <w:sz w:val="24"/>
        </w:rPr>
        <w:t>公园紧邻城市生活区，是市民日常健身、休闲的高频空间；提升后可承担“城市客厅”职能，成为外地游客认识通化的第一站。</w:t>
      </w:r>
    </w:p>
    <w:p>
      <w:pPr>
        <w:pStyle w:val="ListBullet"/>
        <w:spacing w:after="60" w:line="324" w:lineRule="auto"/>
      </w:pPr>
      <w:r>
        <w:rPr>
          <w:rFonts w:ascii="宋体" w:hAnsi="宋体" w:eastAsia="宋体"/>
          <w:b/>
          <w:color w:val="333333"/>
          <w:sz w:val="24"/>
        </w:rPr>
        <w:t>天际线名片：</w:t>
      </w:r>
      <w:r>
        <w:rPr>
          <w:rFonts w:ascii="宋体" w:hAnsi="宋体" w:eastAsia="宋体"/>
          <w:b w:val="0"/>
          <w:sz w:val="24"/>
        </w:rPr>
        <w:t>浑江北岸的山体轮廓线与玉皇阁飞檐构成通化最具辨识度的城市天际线，夜间亮化后将成为城市形象名片。</w:t>
      </w:r>
    </w:p>
    <w:p>
      <w:pPr>
        <w:keepNext/>
        <w:spacing w:before="240" w:after="120"/>
      </w:pPr>
      <w:r>
        <w:rPr>
          <w:rFonts w:ascii="微软雅黑" w:hAnsi="微软雅黑" w:eastAsia="微软雅黑"/>
          <w:b/>
          <w:color w:val="333333"/>
          <w:sz w:val="27"/>
        </w:rPr>
        <w:t>2.6 品质提升对城市活力的拉动</w:t>
      </w:r>
    </w:p>
    <w:p>
      <w:pPr>
        <w:pStyle w:val="ListBullet"/>
        <w:spacing w:after="60" w:line="324" w:lineRule="auto"/>
      </w:pPr>
      <w:r>
        <w:rPr>
          <w:rFonts w:ascii="宋体" w:hAnsi="宋体" w:eastAsia="宋体"/>
          <w:b/>
          <w:color w:val="333333"/>
          <w:sz w:val="24"/>
        </w:rPr>
        <w:t>消费拉动：</w:t>
      </w:r>
      <w:r>
        <w:rPr>
          <w:rFonts w:ascii="宋体" w:hAnsi="宋体" w:eastAsia="宋体"/>
          <w:b w:val="0"/>
          <w:sz w:val="24"/>
        </w:rPr>
        <w:t>公园夜游、夜演、夜市激活城区夜间消费，直接拉动周边餐饮、住宿、零售，延长游客停留由“半日”向“过夜”转变。</w:t>
      </w:r>
    </w:p>
    <w:p>
      <w:pPr>
        <w:pStyle w:val="ListBullet"/>
        <w:spacing w:after="60" w:line="324" w:lineRule="auto"/>
      </w:pPr>
      <w:r>
        <w:rPr>
          <w:rFonts w:ascii="宋体" w:hAnsi="宋体" w:eastAsia="宋体"/>
          <w:b/>
          <w:color w:val="333333"/>
          <w:sz w:val="24"/>
        </w:rPr>
        <w:t>就业拉动：</w:t>
      </w:r>
      <w:r>
        <w:rPr>
          <w:rFonts w:ascii="宋体" w:hAnsi="宋体" w:eastAsia="宋体"/>
          <w:b w:val="0"/>
          <w:sz w:val="24"/>
        </w:rPr>
        <w:t>预计新增直接就业岗位（运营、演艺、餐饮、保洁、安保等）及间接就业机会，为中心城区提供家门口就业。</w:t>
      </w:r>
    </w:p>
    <w:p>
      <w:pPr>
        <w:pStyle w:val="ListBullet"/>
        <w:spacing w:after="60" w:line="324" w:lineRule="auto"/>
      </w:pPr>
      <w:r>
        <w:rPr>
          <w:rFonts w:ascii="宋体" w:hAnsi="宋体" w:eastAsia="宋体"/>
          <w:b/>
          <w:color w:val="333333"/>
          <w:sz w:val="24"/>
        </w:rPr>
        <w:t>资产拉动：</w:t>
      </w:r>
      <w:r>
        <w:rPr>
          <w:rFonts w:ascii="宋体" w:hAnsi="宋体" w:eastAsia="宋体"/>
          <w:b w:val="0"/>
          <w:sz w:val="24"/>
        </w:rPr>
        <w:t>城市中心景观资产升级，带动浑江北岸片区土地与物业价值提升，助推老城更新。</w:t>
      </w:r>
    </w:p>
    <w:p>
      <w:pPr>
        <w:pStyle w:val="ListBullet"/>
        <w:spacing w:after="60" w:line="324" w:lineRule="auto"/>
      </w:pPr>
      <w:r>
        <w:rPr>
          <w:rFonts w:ascii="宋体" w:hAnsi="宋体" w:eastAsia="宋体"/>
          <w:b/>
          <w:color w:val="333333"/>
          <w:sz w:val="24"/>
        </w:rPr>
        <w:t>人气拉动：</w:t>
      </w:r>
      <w:r>
        <w:rPr>
          <w:rFonts w:ascii="宋体" w:hAnsi="宋体" w:eastAsia="宋体"/>
          <w:b w:val="0"/>
          <w:sz w:val="24"/>
        </w:rPr>
        <w:t>为市民提供高品质公共空间，提升宜居度与城市自豪感，服务通化“人口回流、人才留通”的城市战略。</w:t>
      </w:r>
    </w:p>
    <w:p>
      <w:pPr>
        <w:spacing w:before="360" w:after="200"/>
        <w:keepNext/>
        <w:pBdr>
          <w:bottom w:val="single" w:sz="12" w:space="4" w:color="2E6E4E"/>
        </w:pBdr>
      </w:pPr>
      <w:r>
        <w:rPr>
          <w:rFonts w:ascii="微软雅黑" w:hAnsi="微软雅黑" w:eastAsia="微软雅黑"/>
          <w:b/>
          <w:color w:val="2E6E4E"/>
          <w:sz w:val="32"/>
        </w:rPr>
        <w:t>三　改造必要性分析</w:t>
      </w:r>
    </w:p>
    <w:p>
      <w:pPr>
        <w:spacing w:after="120" w:line="336" w:lineRule="auto"/>
        <w:ind w:firstLine="480"/>
      </w:pPr>
      <w:r>
        <w:rPr>
          <w:rFonts w:ascii="宋体" w:hAnsi="宋体" w:eastAsia="宋体"/>
          <w:b w:val="0"/>
          <w:sz w:val="24"/>
        </w:rPr>
        <w:t>通化文旅正处在历史性上升通道：2025年全市接待游客2800万人次、旅游总花费350亿元，2026年官方目标为3000万人次、400亿元；2025—2026雪季全市接待国内游客超1200万人次、出游总花费157.72亿元。城市流量在高位增长，但作为中心城区最重要公共空间的玉皇山公园，供给水平与城市能级明显脱节。</w:t>
      </w:r>
    </w:p>
    <w:p>
      <w:pPr>
        <w:jc w:val="center"/>
      </w:pPr>
      <w:r>
        <w:drawing>
          <wp:inline xmlns:a="http://schemas.openxmlformats.org/drawingml/2006/main" xmlns:pic="http://schemas.openxmlformats.org/drawingml/2006/picture">
            <wp:extent cx="5580000" cy="3035520"/>
            <wp:docPr id="1" name="Picture 1"/>
            <wp:cNvGraphicFramePr>
              <a:graphicFrameLocks noChangeAspect="1"/>
            </wp:cNvGraphicFramePr>
            <a:graphic>
              <a:graphicData uri="http://schemas.openxmlformats.org/drawingml/2006/picture">
                <pic:pic>
                  <pic:nvPicPr>
                    <pic:cNvPr id="0" name="01_tourism_growth.png"/>
                    <pic:cNvPicPr/>
                  </pic:nvPicPr>
                  <pic:blipFill>
                    <a:blip r:embed="rId9"/>
                    <a:stretch>
                      <a:fillRect/>
                    </a:stretch>
                  </pic:blipFill>
                  <pic:spPr>
                    <a:xfrm>
                      <a:off x="0" y="0"/>
                      <a:ext cx="5580000" cy="3035520"/>
                    </a:xfrm>
                    <a:prstGeom prst="rect"/>
                  </pic:spPr>
                </pic:pic>
              </a:graphicData>
            </a:graphic>
          </wp:inline>
        </w:drawing>
      </w:r>
    </w:p>
    <w:p>
      <w:pPr>
        <w:spacing w:after="200"/>
        <w:jc w:val="center"/>
      </w:pPr>
      <w:r>
        <w:rPr>
          <w:rFonts w:ascii="微软雅黑" w:hAnsi="微软雅黑" w:eastAsia="微软雅黑"/>
          <w:b/>
          <w:color w:val="8A8F98"/>
          <w:sz w:val="20"/>
        </w:rPr>
        <w:t>图3-1 通化市旅游接待量与旅游总花费（数据来源：通化市政府工作报告等）</w:t>
      </w:r>
    </w:p>
    <w:p>
      <w:pPr>
        <w:keepNext/>
        <w:spacing w:before="240" w:after="120"/>
      </w:pPr>
      <w:r>
        <w:rPr>
          <w:rFonts w:ascii="微软雅黑" w:hAnsi="微软雅黑" w:eastAsia="微软雅黑"/>
          <w:b/>
          <w:color w:val="333333"/>
          <w:sz w:val="27"/>
        </w:rPr>
        <w:t>3.1 五个维度的必要性</w:t>
      </w:r>
    </w:p>
    <w:tbl>
      <w:tblPr>
        <w:tblStyle w:val="TableGrid"/>
        <w:tblW w:type="auto" w:w="0"/>
        <w:jc w:val="center"/>
        <w:tblLook w:firstColumn="1" w:firstRow="1" w:lastColumn="0" w:lastRow="0" w:noHBand="0" w:noVBand="1" w:val="04A0"/>
      </w:tblPr>
      <w:tblGrid>
        <w:gridCol w:w="3024"/>
        <w:gridCol w:w="3024"/>
        <w:gridCol w:w="3024"/>
      </w:tblGrid>
      <w:tr>
        <w:tc>
          <w:tcPr>
            <w:tcW w:type="dxa" w:w="1474"/>
            <w:shd w:val="clear" w:fill="2E6E4E"/>
          </w:tcPr>
          <w:p>
            <w:pPr>
              <w:jc w:val="center"/>
            </w:pPr>
            <w:r>
              <w:rPr>
                <w:rFonts w:ascii="微软雅黑" w:hAnsi="微软雅黑" w:eastAsia="微软雅黑"/>
                <w:b/>
                <w:color w:val="FFFFFF"/>
                <w:sz w:val="21"/>
              </w:rPr>
              <w:t>维度</w:t>
            </w:r>
          </w:p>
        </w:tc>
        <w:tc>
          <w:tcPr>
            <w:tcW w:type="dxa" w:w="3628"/>
            <w:shd w:val="clear" w:fill="2E6E4E"/>
          </w:tcPr>
          <w:p>
            <w:pPr>
              <w:jc w:val="center"/>
            </w:pPr>
            <w:r>
              <w:rPr>
                <w:rFonts w:ascii="微软雅黑" w:hAnsi="微软雅黑" w:eastAsia="微软雅黑"/>
                <w:b/>
                <w:color w:val="FFFFFF"/>
                <w:sz w:val="21"/>
              </w:rPr>
              <w:t>现状问题</w:t>
            </w:r>
          </w:p>
        </w:tc>
        <w:tc>
          <w:tcPr>
            <w:tcW w:type="dxa" w:w="3969"/>
            <w:shd w:val="clear" w:fill="2E6E4E"/>
          </w:tcPr>
          <w:p>
            <w:pPr>
              <w:jc w:val="center"/>
            </w:pPr>
            <w:r>
              <w:rPr>
                <w:rFonts w:ascii="微软雅黑" w:hAnsi="微软雅黑" w:eastAsia="微软雅黑"/>
                <w:b/>
                <w:color w:val="FFFFFF"/>
                <w:sz w:val="21"/>
              </w:rPr>
              <w:t>改造必要性</w:t>
            </w:r>
          </w:p>
        </w:tc>
      </w:tr>
      <w:tr>
        <w:tc>
          <w:tcPr>
            <w:tcW w:type="dxa" w:w="1474"/>
          </w:tcPr>
          <w:p>
            <w:pPr>
              <w:spacing w:after="40"/>
            </w:pPr>
            <w:r>
              <w:rPr>
                <w:rFonts w:ascii="宋体" w:hAnsi="宋体" w:eastAsia="宋体"/>
                <w:b/>
                <w:sz w:val="21"/>
              </w:rPr>
              <w:t>设施能级</w:t>
            </w:r>
          </w:p>
        </w:tc>
        <w:tc>
          <w:tcPr>
            <w:tcW w:type="dxa" w:w="3628"/>
          </w:tcPr>
          <w:p>
            <w:pPr>
              <w:spacing w:after="40"/>
            </w:pPr>
            <w:r>
              <w:rPr>
                <w:rFonts w:ascii="宋体" w:hAnsi="宋体" w:eastAsia="宋体"/>
                <w:b w:val="0"/>
                <w:sz w:val="21"/>
              </w:rPr>
              <w:t>游乐设施陈旧、服务配套老化，与“百万级雪场城市”“高铁城市”身份不符</w:t>
            </w:r>
          </w:p>
        </w:tc>
        <w:tc>
          <w:tcPr>
            <w:tcW w:type="dxa" w:w="3969"/>
          </w:tcPr>
          <w:p>
            <w:pPr>
              <w:spacing w:after="40"/>
            </w:pPr>
            <w:r>
              <w:rPr>
                <w:rFonts w:ascii="宋体" w:hAnsi="宋体" w:eastAsia="宋体"/>
                <w:b w:val="0"/>
                <w:sz w:val="21"/>
              </w:rPr>
              <w:t>补齐城市核心公共空间短板，匹配城市能级跃升</w:t>
            </w:r>
          </w:p>
        </w:tc>
      </w:tr>
      <w:tr>
        <w:tc>
          <w:tcPr>
            <w:tcW w:type="dxa" w:w="1474"/>
            <w:shd w:val="clear" w:fill="F2F6F3"/>
          </w:tcPr>
          <w:p>
            <w:pPr>
              <w:spacing w:after="40"/>
            </w:pPr>
            <w:r>
              <w:rPr>
                <w:rFonts w:ascii="宋体" w:hAnsi="宋体" w:eastAsia="宋体"/>
                <w:b/>
                <w:sz w:val="21"/>
              </w:rPr>
              <w:t>文化活化</w:t>
            </w:r>
          </w:p>
        </w:tc>
        <w:tc>
          <w:tcPr>
            <w:tcW w:type="dxa" w:w="3628"/>
            <w:shd w:val="clear" w:fill="F2F6F3"/>
          </w:tcPr>
          <w:p>
            <w:pPr>
              <w:spacing w:after="40"/>
            </w:pPr>
            <w:r>
              <w:rPr>
                <w:rFonts w:ascii="宋体" w:hAnsi="宋体" w:eastAsia="宋体"/>
                <w:b w:val="0"/>
                <w:sz w:val="21"/>
              </w:rPr>
              <w:t>玉皇阁等文保资源“看得见、进不深”，庙会等民俗流量未转化</w:t>
            </w:r>
          </w:p>
        </w:tc>
        <w:tc>
          <w:tcPr>
            <w:tcW w:type="dxa" w:w="3969"/>
            <w:shd w:val="clear" w:fill="F2F6F3"/>
          </w:tcPr>
          <w:p>
            <w:pPr>
              <w:spacing w:after="40"/>
            </w:pPr>
            <w:r>
              <w:rPr>
                <w:rFonts w:ascii="宋体" w:hAnsi="宋体" w:eastAsia="宋体"/>
                <w:b w:val="0"/>
                <w:sz w:val="21"/>
              </w:rPr>
              <w:t>把文化资源变成可体验、可消费、可传播的产品</w:t>
            </w:r>
          </w:p>
        </w:tc>
      </w:tr>
      <w:tr>
        <w:tc>
          <w:tcPr>
            <w:tcW w:type="dxa" w:w="1474"/>
          </w:tcPr>
          <w:p>
            <w:pPr>
              <w:spacing w:after="40"/>
            </w:pPr>
            <w:r>
              <w:rPr>
                <w:rFonts w:ascii="宋体" w:hAnsi="宋体" w:eastAsia="宋体"/>
                <w:b/>
                <w:sz w:val="21"/>
              </w:rPr>
              <w:t>城市留客</w:t>
            </w:r>
          </w:p>
        </w:tc>
        <w:tc>
          <w:tcPr>
            <w:tcW w:type="dxa" w:w="3628"/>
          </w:tcPr>
          <w:p>
            <w:pPr>
              <w:spacing w:after="40"/>
            </w:pPr>
            <w:r>
              <w:rPr>
                <w:rFonts w:ascii="宋体" w:hAnsi="宋体" w:eastAsia="宋体"/>
                <w:b w:val="0"/>
                <w:sz w:val="21"/>
              </w:rPr>
              <w:t>游客“过境通化去长白山/万峰/集安”，市区缺乏2小时以上停留级产品</w:t>
            </w:r>
          </w:p>
        </w:tc>
        <w:tc>
          <w:tcPr>
            <w:tcW w:type="dxa" w:w="3969"/>
          </w:tcPr>
          <w:p>
            <w:pPr>
              <w:spacing w:after="40"/>
            </w:pPr>
            <w:r>
              <w:rPr>
                <w:rFonts w:ascii="宋体" w:hAnsi="宋体" w:eastAsia="宋体"/>
                <w:b w:val="0"/>
                <w:sz w:val="21"/>
              </w:rPr>
              <w:t>打造市区“流量转化器”，把过境客变过夜客</w:t>
            </w:r>
          </w:p>
        </w:tc>
      </w:tr>
      <w:tr>
        <w:tc>
          <w:tcPr>
            <w:tcW w:type="dxa" w:w="1474"/>
            <w:shd w:val="clear" w:fill="F2F6F3"/>
          </w:tcPr>
          <w:p>
            <w:pPr>
              <w:spacing w:after="40"/>
            </w:pPr>
            <w:r>
              <w:rPr>
                <w:rFonts w:ascii="宋体" w:hAnsi="宋体" w:eastAsia="宋体"/>
                <w:b/>
                <w:sz w:val="21"/>
              </w:rPr>
              <w:t>夜间经济</w:t>
            </w:r>
          </w:p>
        </w:tc>
        <w:tc>
          <w:tcPr>
            <w:tcW w:type="dxa" w:w="3628"/>
            <w:shd w:val="clear" w:fill="F2F6F3"/>
          </w:tcPr>
          <w:p>
            <w:pPr>
              <w:spacing w:after="40"/>
            </w:pPr>
            <w:r>
              <w:rPr>
                <w:rFonts w:ascii="宋体" w:hAnsi="宋体" w:eastAsia="宋体"/>
                <w:b w:val="0"/>
                <w:sz w:val="21"/>
              </w:rPr>
              <w:t>城区夜间文旅供给薄弱，山体夜景资源沉睡</w:t>
            </w:r>
          </w:p>
        </w:tc>
        <w:tc>
          <w:tcPr>
            <w:tcW w:type="dxa" w:w="3969"/>
            <w:shd w:val="clear" w:fill="F2F6F3"/>
          </w:tcPr>
          <w:p>
            <w:pPr>
              <w:spacing w:after="40"/>
            </w:pPr>
            <w:r>
              <w:rPr>
                <w:rFonts w:ascii="宋体" w:hAnsi="宋体" w:eastAsia="宋体"/>
                <w:b w:val="0"/>
                <w:sz w:val="21"/>
              </w:rPr>
              <w:t>以夜游点亮城市天际线，激活夜经济</w:t>
            </w:r>
          </w:p>
        </w:tc>
      </w:tr>
      <w:tr>
        <w:tc>
          <w:tcPr>
            <w:tcW w:type="dxa" w:w="1474"/>
          </w:tcPr>
          <w:p>
            <w:pPr>
              <w:spacing w:after="40"/>
            </w:pPr>
            <w:r>
              <w:rPr>
                <w:rFonts w:ascii="宋体" w:hAnsi="宋体" w:eastAsia="宋体"/>
                <w:b/>
                <w:sz w:val="21"/>
              </w:rPr>
              <w:t>生态价值</w:t>
            </w:r>
          </w:p>
        </w:tc>
        <w:tc>
          <w:tcPr>
            <w:tcW w:type="dxa" w:w="3628"/>
          </w:tcPr>
          <w:p>
            <w:pPr>
              <w:spacing w:after="40"/>
            </w:pPr>
            <w:r>
              <w:rPr>
                <w:rFonts w:ascii="宋体" w:hAnsi="宋体" w:eastAsia="宋体"/>
                <w:b w:val="0"/>
                <w:sz w:val="21"/>
              </w:rPr>
              <w:t>95%绿化覆盖率的生态资产缺乏低扰动变现通道</w:t>
            </w:r>
          </w:p>
        </w:tc>
        <w:tc>
          <w:tcPr>
            <w:tcW w:type="dxa" w:w="3969"/>
          </w:tcPr>
          <w:p>
            <w:pPr>
              <w:spacing w:after="40"/>
            </w:pPr>
            <w:r>
              <w:rPr>
                <w:rFonts w:ascii="宋体" w:hAnsi="宋体" w:eastAsia="宋体"/>
                <w:b w:val="0"/>
                <w:sz w:val="21"/>
              </w:rPr>
              <w:t>以零扰动方式实现“绿水青山”价值转化</w:t>
            </w:r>
          </w:p>
        </w:tc>
      </w:tr>
    </w:tbl>
    <w:p>
      <w:pPr>
        <w:spacing w:after="40"/>
      </w:pPr>
    </w:p>
    <w:p>
      <w:pPr>
        <w:keepNext/>
        <w:spacing w:before="240" w:after="120"/>
      </w:pPr>
      <w:r>
        <w:rPr>
          <w:rFonts w:ascii="微软雅黑" w:hAnsi="微软雅黑" w:eastAsia="微软雅黑"/>
          <w:b/>
          <w:color w:val="333333"/>
          <w:sz w:val="27"/>
        </w:rPr>
        <w:t>3.2 时间窗口的必要性</w:t>
      </w:r>
    </w:p>
    <w:p>
      <w:pPr>
        <w:spacing w:after="120" w:line="336" w:lineRule="auto"/>
        <w:ind w:firstLine="480"/>
      </w:pPr>
      <w:r>
        <w:rPr>
          <w:rFonts w:ascii="宋体" w:hAnsi="宋体" w:eastAsia="宋体"/>
          <w:b w:val="0"/>
          <w:sz w:val="24"/>
        </w:rPr>
        <w:t>沈白高铁（2025年9月28日）与G331沿边开放旅游大通道（同日全线贯通）构成“双线红利”，高铁开通首月即带动通化主要景区游客同比增长近两成；万峰雪场首破百万人次。城市流量的“泼天富贵”已经到来，市区承接产品的建设速度决定红利留存率——玉皇山公园改造宜早不宜迟，力争在下一个完整雪季前形成接待能力。</w:t>
      </w:r>
    </w:p>
    <w:p>
      <w:pPr>
        <w:spacing w:before="360" w:after="200"/>
        <w:keepNext/>
        <w:pBdr>
          <w:bottom w:val="single" w:sz="12" w:space="4" w:color="2E6E4E"/>
        </w:pBdr>
      </w:pPr>
      <w:r>
        <w:rPr>
          <w:rFonts w:ascii="微软雅黑" w:hAnsi="微软雅黑" w:eastAsia="微软雅黑"/>
          <w:b/>
          <w:color w:val="2E6E4E"/>
          <w:sz w:val="32"/>
        </w:rPr>
        <w:t>四　新时代客群需求分析</w:t>
      </w:r>
    </w:p>
    <w:p>
      <w:pPr>
        <w:spacing w:after="120" w:line="336" w:lineRule="auto"/>
        <w:ind w:firstLine="480"/>
      </w:pPr>
      <w:r>
        <w:rPr>
          <w:rFonts w:ascii="宋体" w:hAnsi="宋体" w:eastAsia="宋体"/>
          <w:b w:val="0"/>
          <w:sz w:val="24"/>
        </w:rPr>
        <w:t>高铁时代与体验经济叠加，通化客群结构正在发生根本变化：由“本地市民为主”转向“本地市民+域外游客”双轮驱动，由“观光打卡”转向“体验、社交、疗愈”复合需求。</w:t>
      </w:r>
    </w:p>
    <w:p>
      <w:pPr>
        <w:jc w:val="center"/>
      </w:pPr>
      <w:r>
        <w:drawing>
          <wp:inline xmlns:a="http://schemas.openxmlformats.org/drawingml/2006/main" xmlns:pic="http://schemas.openxmlformats.org/drawingml/2006/picture">
            <wp:extent cx="5580000" cy="2418486"/>
            <wp:docPr id="2" name="Picture 2"/>
            <wp:cNvGraphicFramePr>
              <a:graphicFrameLocks noChangeAspect="1"/>
            </wp:cNvGraphicFramePr>
            <a:graphic>
              <a:graphicData uri="http://schemas.openxmlformats.org/drawingml/2006/picture">
                <pic:pic>
                  <pic:nvPicPr>
                    <pic:cNvPr id="0" name="05_customer_structure.png"/>
                    <pic:cNvPicPr/>
                  </pic:nvPicPr>
                  <pic:blipFill>
                    <a:blip r:embed="rId10"/>
                    <a:stretch>
                      <a:fillRect/>
                    </a:stretch>
                  </pic:blipFill>
                  <pic:spPr>
                    <a:xfrm>
                      <a:off x="0" y="0"/>
                      <a:ext cx="5580000" cy="2418486"/>
                    </a:xfrm>
                    <a:prstGeom prst="rect"/>
                  </pic:spPr>
                </pic:pic>
              </a:graphicData>
            </a:graphic>
          </wp:inline>
        </w:drawing>
      </w:r>
    </w:p>
    <w:p>
      <w:pPr>
        <w:spacing w:after="200"/>
        <w:jc w:val="center"/>
      </w:pPr>
      <w:r>
        <w:rPr>
          <w:rFonts w:ascii="微软雅黑" w:hAnsi="微软雅黑" w:eastAsia="微软雅黑"/>
          <w:b/>
          <w:color w:val="8A8F98"/>
          <w:sz w:val="20"/>
        </w:rPr>
        <w:t>图4-1 改造后目标客群结构与核心需求（规划测算示意）</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fill="2E6E4E"/>
          </w:tcPr>
          <w:p>
            <w:pPr>
              <w:jc w:val="center"/>
            </w:pPr>
            <w:r>
              <w:rPr>
                <w:rFonts w:ascii="微软雅黑" w:hAnsi="微软雅黑" w:eastAsia="微软雅黑"/>
                <w:b/>
                <w:color w:val="FFFFFF"/>
                <w:sz w:val="21"/>
              </w:rPr>
              <w:t>客群</w:t>
            </w:r>
          </w:p>
        </w:tc>
        <w:tc>
          <w:tcPr>
            <w:tcW w:type="dxa" w:w="3175"/>
            <w:shd w:val="clear" w:fill="2E6E4E"/>
          </w:tcPr>
          <w:p>
            <w:pPr>
              <w:jc w:val="center"/>
            </w:pPr>
            <w:r>
              <w:rPr>
                <w:rFonts w:ascii="微软雅黑" w:hAnsi="微软雅黑" w:eastAsia="微软雅黑"/>
                <w:b/>
                <w:color w:val="FFFFFF"/>
                <w:sz w:val="21"/>
              </w:rPr>
              <w:t>特征与规模判断</w:t>
            </w:r>
          </w:p>
        </w:tc>
        <w:tc>
          <w:tcPr>
            <w:tcW w:type="dxa" w:w="4195"/>
            <w:shd w:val="clear" w:fill="2E6E4E"/>
          </w:tcPr>
          <w:p>
            <w:pPr>
              <w:jc w:val="center"/>
            </w:pPr>
            <w:r>
              <w:rPr>
                <w:rFonts w:ascii="微软雅黑" w:hAnsi="微软雅黑" w:eastAsia="微软雅黑"/>
                <w:b/>
                <w:color w:val="FFFFFF"/>
                <w:sz w:val="21"/>
              </w:rPr>
              <w:t>对玉皇山的核心诉求</w:t>
            </w:r>
          </w:p>
        </w:tc>
      </w:tr>
      <w:tr>
        <w:tc>
          <w:tcPr>
            <w:tcW w:type="dxa" w:w="1701"/>
          </w:tcPr>
          <w:p>
            <w:pPr>
              <w:spacing w:after="40"/>
            </w:pPr>
            <w:r>
              <w:rPr>
                <w:rFonts w:ascii="宋体" w:hAnsi="宋体" w:eastAsia="宋体"/>
                <w:b/>
                <w:sz w:val="21"/>
              </w:rPr>
              <w:t>家庭亲子客群</w:t>
            </w:r>
          </w:p>
        </w:tc>
        <w:tc>
          <w:tcPr>
            <w:tcW w:type="dxa" w:w="3175"/>
          </w:tcPr>
          <w:p>
            <w:pPr>
              <w:spacing w:after="40"/>
            </w:pPr>
            <w:r>
              <w:rPr>
                <w:rFonts w:ascii="宋体" w:hAnsi="宋体" w:eastAsia="宋体"/>
                <w:b w:val="0"/>
                <w:sz w:val="21"/>
              </w:rPr>
              <w:t>本地及周边城市家庭，周末高频，客单价稳定</w:t>
            </w:r>
          </w:p>
        </w:tc>
        <w:tc>
          <w:tcPr>
            <w:tcW w:type="dxa" w:w="4195"/>
          </w:tcPr>
          <w:p>
            <w:pPr>
              <w:spacing w:after="40"/>
            </w:pPr>
            <w:r>
              <w:rPr>
                <w:rFonts w:ascii="宋体" w:hAnsi="宋体" w:eastAsia="宋体"/>
                <w:b w:val="0"/>
                <w:sz w:val="21"/>
              </w:rPr>
              <w:t>安全的无动力乐园、自然研学、四季戏雪戏水、便捷餐饮</w:t>
            </w:r>
          </w:p>
        </w:tc>
      </w:tr>
      <w:tr>
        <w:tc>
          <w:tcPr>
            <w:tcW w:type="dxa" w:w="1701"/>
            <w:shd w:val="clear" w:fill="F2F6F3"/>
          </w:tcPr>
          <w:p>
            <w:pPr>
              <w:spacing w:after="40"/>
            </w:pPr>
            <w:r>
              <w:rPr>
                <w:rFonts w:ascii="宋体" w:hAnsi="宋体" w:eastAsia="宋体"/>
                <w:b/>
                <w:sz w:val="21"/>
              </w:rPr>
              <w:t>年轻潮玩/研学客群</w:t>
            </w:r>
          </w:p>
        </w:tc>
        <w:tc>
          <w:tcPr>
            <w:tcW w:type="dxa" w:w="3175"/>
            <w:shd w:val="clear" w:fill="F2F6F3"/>
          </w:tcPr>
          <w:p>
            <w:pPr>
              <w:spacing w:after="40"/>
            </w:pPr>
            <w:r>
              <w:rPr>
                <w:rFonts w:ascii="宋体" w:hAnsi="宋体" w:eastAsia="宋体"/>
                <w:b w:val="0"/>
                <w:sz w:val="21"/>
              </w:rPr>
              <w:t>Z世代与大学生，社交传播主力，沈阳1小时圈直达</w:t>
            </w:r>
          </w:p>
        </w:tc>
        <w:tc>
          <w:tcPr>
            <w:tcW w:type="dxa" w:w="4195"/>
            <w:shd w:val="clear" w:fill="F2F6F3"/>
          </w:tcPr>
          <w:p>
            <w:pPr>
              <w:spacing w:after="40"/>
            </w:pPr>
            <w:r>
              <w:rPr>
                <w:rFonts w:ascii="宋体" w:hAnsi="宋体" w:eastAsia="宋体"/>
                <w:b w:val="0"/>
                <w:sz w:val="21"/>
              </w:rPr>
              <w:t>夜游光影、架空栈道打卡点、国潮文创、电音露营等潮流活动</w:t>
            </w:r>
          </w:p>
        </w:tc>
      </w:tr>
      <w:tr>
        <w:tc>
          <w:tcPr>
            <w:tcW w:type="dxa" w:w="1701"/>
          </w:tcPr>
          <w:p>
            <w:pPr>
              <w:spacing w:after="40"/>
            </w:pPr>
            <w:r>
              <w:rPr>
                <w:rFonts w:ascii="宋体" w:hAnsi="宋体" w:eastAsia="宋体"/>
                <w:b/>
                <w:sz w:val="21"/>
              </w:rPr>
              <w:t>康养银发客群</w:t>
            </w:r>
          </w:p>
        </w:tc>
        <w:tc>
          <w:tcPr>
            <w:tcW w:type="dxa" w:w="3175"/>
          </w:tcPr>
          <w:p>
            <w:pPr>
              <w:spacing w:after="40"/>
            </w:pPr>
            <w:r>
              <w:rPr>
                <w:rFonts w:ascii="宋体" w:hAnsi="宋体" w:eastAsia="宋体"/>
                <w:b w:val="0"/>
                <w:sz w:val="21"/>
              </w:rPr>
              <w:t>东北庞大退休群体+南方避暑候鸟客群</w:t>
            </w:r>
          </w:p>
        </w:tc>
        <w:tc>
          <w:tcPr>
            <w:tcW w:type="dxa" w:w="4195"/>
          </w:tcPr>
          <w:p>
            <w:pPr>
              <w:spacing w:after="40"/>
            </w:pPr>
            <w:r>
              <w:rPr>
                <w:rFonts w:ascii="宋体" w:hAnsi="宋体" w:eastAsia="宋体"/>
                <w:b w:val="0"/>
                <w:sz w:val="21"/>
              </w:rPr>
              <w:t>22℃避暑、森林步道、茶咖静憩、庙会民俗、无障碍设施</w:t>
            </w:r>
          </w:p>
        </w:tc>
      </w:tr>
      <w:tr>
        <w:tc>
          <w:tcPr>
            <w:tcW w:type="dxa" w:w="1701"/>
            <w:shd w:val="clear" w:fill="F2F6F3"/>
          </w:tcPr>
          <w:p>
            <w:pPr>
              <w:spacing w:after="40"/>
            </w:pPr>
            <w:r>
              <w:rPr>
                <w:rFonts w:ascii="宋体" w:hAnsi="宋体" w:eastAsia="宋体"/>
                <w:b/>
                <w:sz w:val="21"/>
              </w:rPr>
              <w:t>滑雪度假联动客群</w:t>
            </w:r>
          </w:p>
        </w:tc>
        <w:tc>
          <w:tcPr>
            <w:tcW w:type="dxa" w:w="3175"/>
            <w:shd w:val="clear" w:fill="F2F6F3"/>
          </w:tcPr>
          <w:p>
            <w:pPr>
              <w:spacing w:after="40"/>
            </w:pPr>
            <w:r>
              <w:rPr>
                <w:rFonts w:ascii="宋体" w:hAnsi="宋体" w:eastAsia="宋体"/>
                <w:b w:val="0"/>
                <w:sz w:val="21"/>
              </w:rPr>
              <w:t>万峰百万级滑雪客群，来自珠三角、长三角等地</w:t>
            </w:r>
          </w:p>
        </w:tc>
        <w:tc>
          <w:tcPr>
            <w:tcW w:type="dxa" w:w="4195"/>
            <w:shd w:val="clear" w:fill="F2F6F3"/>
          </w:tcPr>
          <w:p>
            <w:pPr>
              <w:spacing w:after="40"/>
            </w:pPr>
            <w:r>
              <w:rPr>
                <w:rFonts w:ascii="宋体" w:hAnsi="宋体" w:eastAsia="宋体"/>
                <w:b w:val="0"/>
                <w:sz w:val="21"/>
              </w:rPr>
              <w:t>滑雪之外的“第二晚理由”：城市夜景、温暖业态、冰灯庙会</w:t>
            </w:r>
          </w:p>
        </w:tc>
      </w:tr>
      <w:tr>
        <w:tc>
          <w:tcPr>
            <w:tcW w:type="dxa" w:w="1701"/>
          </w:tcPr>
          <w:p>
            <w:pPr>
              <w:spacing w:after="40"/>
            </w:pPr>
            <w:r>
              <w:rPr>
                <w:rFonts w:ascii="宋体" w:hAnsi="宋体" w:eastAsia="宋体"/>
                <w:b/>
                <w:sz w:val="21"/>
              </w:rPr>
              <w:t>高铁过境中转客群</w:t>
            </w:r>
          </w:p>
        </w:tc>
        <w:tc>
          <w:tcPr>
            <w:tcW w:type="dxa" w:w="3175"/>
          </w:tcPr>
          <w:p>
            <w:pPr>
              <w:spacing w:after="40"/>
            </w:pPr>
            <w:r>
              <w:rPr>
                <w:rFonts w:ascii="宋体" w:hAnsi="宋体" w:eastAsia="宋体"/>
                <w:b w:val="0"/>
                <w:sz w:val="21"/>
              </w:rPr>
              <w:t>通化站日均3000—7000人次进出，去往长白山方向</w:t>
            </w:r>
          </w:p>
        </w:tc>
        <w:tc>
          <w:tcPr>
            <w:tcW w:type="dxa" w:w="4195"/>
          </w:tcPr>
          <w:p>
            <w:pPr>
              <w:spacing w:after="40"/>
            </w:pPr>
            <w:r>
              <w:rPr>
                <w:rFonts w:ascii="宋体" w:hAnsi="宋体" w:eastAsia="宋体"/>
                <w:b w:val="0"/>
                <w:sz w:val="21"/>
              </w:rPr>
              <w:t>2—4小时快速游览产品：登山观城、文化速览、伴手礼</w:t>
            </w:r>
          </w:p>
        </w:tc>
      </w:tr>
    </w:tbl>
    <w:p>
      <w:pPr>
        <w:spacing w:after="40"/>
      </w:pPr>
    </w:p>
    <w:p>
      <w:pPr>
        <w:spacing w:after="120" w:line="336" w:lineRule="auto"/>
        <w:ind w:firstLine="480"/>
      </w:pPr>
      <w:r>
        <w:rPr>
          <w:rFonts w:ascii="宋体" w:hAnsi="宋体" w:eastAsia="宋体"/>
          <w:b w:val="0"/>
          <w:sz w:val="24"/>
        </w:rPr>
        <w:t>需求侧结论：新客群不再为“一座山”买单，而是为“山上的内容+情绪价值”买单。玉皇山的提升必须从“园林绿化思维”转向“产品运营思维”，围绕夜间化、四季化、体验化、智慧化四个关键词组织内容。</w:t>
      </w:r>
    </w:p>
    <w:p>
      <w:pPr>
        <w:spacing w:before="360" w:after="200"/>
        <w:keepNext/>
        <w:pBdr>
          <w:bottom w:val="single" w:sz="12" w:space="4" w:color="2E6E4E"/>
        </w:pBdr>
      </w:pPr>
      <w:r>
        <w:rPr>
          <w:rFonts w:ascii="微软雅黑" w:hAnsi="微软雅黑" w:eastAsia="微软雅黑"/>
          <w:b/>
          <w:color w:val="2E6E4E"/>
          <w:sz w:val="32"/>
        </w:rPr>
        <w:t>五　玉皇山公园需要提升的内容分析</w:t>
      </w:r>
    </w:p>
    <w:tbl>
      <w:tblPr>
        <w:tblStyle w:val="TableGrid"/>
        <w:tblW w:type="auto" w:w="0"/>
        <w:jc w:val="center"/>
        <w:tblLook w:firstColumn="1" w:firstRow="1" w:lastColumn="0" w:lastRow="0" w:noHBand="0" w:noVBand="1" w:val="04A0"/>
      </w:tblPr>
      <w:tblGrid>
        <w:gridCol w:w="3024"/>
        <w:gridCol w:w="3024"/>
        <w:gridCol w:w="3024"/>
      </w:tblGrid>
      <w:tr>
        <w:tc>
          <w:tcPr>
            <w:tcW w:type="dxa" w:w="1814"/>
            <w:shd w:val="clear" w:fill="2E6E4E"/>
          </w:tcPr>
          <w:p>
            <w:pPr>
              <w:jc w:val="center"/>
            </w:pPr>
            <w:r>
              <w:rPr>
                <w:rFonts w:ascii="微软雅黑" w:hAnsi="微软雅黑" w:eastAsia="微软雅黑"/>
                <w:b/>
                <w:color w:val="FFFFFF"/>
                <w:sz w:val="21"/>
              </w:rPr>
              <w:t>提升方向</w:t>
            </w:r>
          </w:p>
        </w:tc>
        <w:tc>
          <w:tcPr>
            <w:tcW w:type="dxa" w:w="2268"/>
            <w:shd w:val="clear" w:fill="2E6E4E"/>
          </w:tcPr>
          <w:p>
            <w:pPr>
              <w:jc w:val="center"/>
            </w:pPr>
            <w:r>
              <w:rPr>
                <w:rFonts w:ascii="微软雅黑" w:hAnsi="微软雅黑" w:eastAsia="微软雅黑"/>
                <w:b/>
                <w:color w:val="FFFFFF"/>
                <w:sz w:val="21"/>
              </w:rPr>
              <w:t>现状短板</w:t>
            </w:r>
          </w:p>
        </w:tc>
        <w:tc>
          <w:tcPr>
            <w:tcW w:type="dxa" w:w="4989"/>
            <w:shd w:val="clear" w:fill="2E6E4E"/>
          </w:tcPr>
          <w:p>
            <w:pPr>
              <w:jc w:val="center"/>
            </w:pPr>
            <w:r>
              <w:rPr>
                <w:rFonts w:ascii="微软雅黑" w:hAnsi="微软雅黑" w:eastAsia="微软雅黑"/>
                <w:b/>
                <w:color w:val="FFFFFF"/>
                <w:sz w:val="21"/>
              </w:rPr>
              <w:t>提升内容（遵循零扰动四原则）</w:t>
            </w:r>
          </w:p>
        </w:tc>
      </w:tr>
      <w:tr>
        <w:tc>
          <w:tcPr>
            <w:tcW w:type="dxa" w:w="1814"/>
          </w:tcPr>
          <w:p>
            <w:pPr>
              <w:spacing w:after="40"/>
            </w:pPr>
            <w:r>
              <w:rPr>
                <w:rFonts w:ascii="宋体" w:hAnsi="宋体" w:eastAsia="宋体"/>
                <w:b/>
                <w:sz w:val="21"/>
              </w:rPr>
              <w:t>入口形象与交通</w:t>
            </w:r>
          </w:p>
        </w:tc>
        <w:tc>
          <w:tcPr>
            <w:tcW w:type="dxa" w:w="2268"/>
          </w:tcPr>
          <w:p>
            <w:pPr>
              <w:spacing w:after="40"/>
            </w:pPr>
            <w:r>
              <w:rPr>
                <w:rFonts w:ascii="宋体" w:hAnsi="宋体" w:eastAsia="宋体"/>
                <w:b w:val="0"/>
                <w:sz w:val="21"/>
              </w:rPr>
              <w:t>入口辨识度弱、停车不足</w:t>
            </w:r>
          </w:p>
        </w:tc>
        <w:tc>
          <w:tcPr>
            <w:tcW w:type="dxa" w:w="4989"/>
          </w:tcPr>
          <w:p>
            <w:pPr>
              <w:spacing w:after="40"/>
            </w:pPr>
            <w:r>
              <w:rPr>
                <w:rFonts w:ascii="宋体" w:hAnsi="宋体" w:eastAsia="宋体"/>
                <w:b w:val="0"/>
                <w:sz w:val="21"/>
              </w:rPr>
              <w:t>入口广场改造（既有硬化面）、标识系统、共享巴士接驳通化站/万峰/龙兴里</w:t>
            </w:r>
          </w:p>
        </w:tc>
      </w:tr>
      <w:tr>
        <w:tc>
          <w:tcPr>
            <w:tcW w:type="dxa" w:w="1814"/>
            <w:shd w:val="clear" w:fill="F2F6F3"/>
          </w:tcPr>
          <w:p>
            <w:pPr>
              <w:spacing w:after="40"/>
            </w:pPr>
            <w:r>
              <w:rPr>
                <w:rFonts w:ascii="宋体" w:hAnsi="宋体" w:eastAsia="宋体"/>
                <w:b/>
                <w:sz w:val="21"/>
              </w:rPr>
              <w:t>架空观景系统</w:t>
            </w:r>
          </w:p>
        </w:tc>
        <w:tc>
          <w:tcPr>
            <w:tcW w:type="dxa" w:w="2268"/>
            <w:shd w:val="clear" w:fill="F2F6F3"/>
          </w:tcPr>
          <w:p>
            <w:pPr>
              <w:spacing w:after="40"/>
            </w:pPr>
            <w:r>
              <w:rPr>
                <w:rFonts w:ascii="宋体" w:hAnsi="宋体" w:eastAsia="宋体"/>
                <w:b w:val="0"/>
                <w:sz w:val="21"/>
              </w:rPr>
              <w:t>山巅视野好但缺乏观景产品</w:t>
            </w:r>
          </w:p>
        </w:tc>
        <w:tc>
          <w:tcPr>
            <w:tcW w:type="dxa" w:w="4989"/>
            <w:shd w:val="clear" w:fill="F2F6F3"/>
          </w:tcPr>
          <w:p>
            <w:pPr>
              <w:spacing w:after="40"/>
            </w:pPr>
            <w:r>
              <w:rPr>
                <w:rFonts w:ascii="宋体" w:hAnsi="宋体" w:eastAsia="宋体"/>
                <w:b w:val="0"/>
                <w:sz w:val="21"/>
              </w:rPr>
              <w:t>架空桁架观景廊/观景平台、林上步道，不触地面植被，形成“城市阳台”地标</w:t>
            </w:r>
          </w:p>
        </w:tc>
      </w:tr>
      <w:tr>
        <w:tc>
          <w:tcPr>
            <w:tcW w:type="dxa" w:w="1814"/>
          </w:tcPr>
          <w:p>
            <w:pPr>
              <w:spacing w:after="40"/>
            </w:pPr>
            <w:r>
              <w:rPr>
                <w:rFonts w:ascii="宋体" w:hAnsi="宋体" w:eastAsia="宋体"/>
                <w:b/>
                <w:sz w:val="21"/>
              </w:rPr>
              <w:t>夜游光影系统</w:t>
            </w:r>
          </w:p>
        </w:tc>
        <w:tc>
          <w:tcPr>
            <w:tcW w:type="dxa" w:w="2268"/>
          </w:tcPr>
          <w:p>
            <w:pPr>
              <w:spacing w:after="40"/>
            </w:pPr>
            <w:r>
              <w:rPr>
                <w:rFonts w:ascii="宋体" w:hAnsi="宋体" w:eastAsia="宋体"/>
                <w:b w:val="0"/>
                <w:sz w:val="21"/>
              </w:rPr>
              <w:t>夜间无照明无业态</w:t>
            </w:r>
          </w:p>
        </w:tc>
        <w:tc>
          <w:tcPr>
            <w:tcW w:type="dxa" w:w="4989"/>
          </w:tcPr>
          <w:p>
            <w:pPr>
              <w:spacing w:after="40"/>
            </w:pPr>
            <w:r>
              <w:rPr>
                <w:rFonts w:ascii="宋体" w:hAnsi="宋体" w:eastAsia="宋体"/>
                <w:b w:val="0"/>
                <w:sz w:val="21"/>
              </w:rPr>
              <w:t>山体轮廓亮化、玉皇阁泛光（文保规范内）、林间光影夜游线（可移动灯组）</w:t>
            </w:r>
          </w:p>
        </w:tc>
      </w:tr>
      <w:tr>
        <w:tc>
          <w:tcPr>
            <w:tcW w:type="dxa" w:w="1814"/>
            <w:shd w:val="clear" w:fill="F2F6F3"/>
          </w:tcPr>
          <w:p>
            <w:pPr>
              <w:spacing w:after="40"/>
            </w:pPr>
            <w:r>
              <w:rPr>
                <w:rFonts w:ascii="宋体" w:hAnsi="宋体" w:eastAsia="宋体"/>
                <w:b/>
                <w:sz w:val="21"/>
              </w:rPr>
              <w:t>四季游乐产品</w:t>
            </w:r>
          </w:p>
        </w:tc>
        <w:tc>
          <w:tcPr>
            <w:tcW w:type="dxa" w:w="2268"/>
            <w:shd w:val="clear" w:fill="F2F6F3"/>
          </w:tcPr>
          <w:p>
            <w:pPr>
              <w:spacing w:after="40"/>
            </w:pPr>
            <w:r>
              <w:rPr>
                <w:rFonts w:ascii="宋体" w:hAnsi="宋体" w:eastAsia="宋体"/>
                <w:b w:val="0"/>
                <w:sz w:val="21"/>
              </w:rPr>
              <w:t>游乐设施陈旧单一</w:t>
            </w:r>
          </w:p>
        </w:tc>
        <w:tc>
          <w:tcPr>
            <w:tcW w:type="dxa" w:w="4989"/>
            <w:shd w:val="clear" w:fill="F2F6F3"/>
          </w:tcPr>
          <w:p>
            <w:pPr>
              <w:spacing w:after="40"/>
            </w:pPr>
            <w:r>
              <w:rPr>
                <w:rFonts w:ascii="宋体" w:hAnsi="宋体" w:eastAsia="宋体"/>
                <w:b w:val="0"/>
                <w:sz w:val="21"/>
              </w:rPr>
              <w:t>无动力乐园、山地滑道（既有场地）、冬季雪圈戏雪场、冰灯园（广场布置）</w:t>
            </w:r>
          </w:p>
        </w:tc>
      </w:tr>
      <w:tr>
        <w:tc>
          <w:tcPr>
            <w:tcW w:type="dxa" w:w="1814"/>
          </w:tcPr>
          <w:p>
            <w:pPr>
              <w:spacing w:after="40"/>
            </w:pPr>
            <w:r>
              <w:rPr>
                <w:rFonts w:ascii="宋体" w:hAnsi="宋体" w:eastAsia="宋体"/>
                <w:b/>
                <w:sz w:val="21"/>
              </w:rPr>
              <w:t>文化体验活化</w:t>
            </w:r>
          </w:p>
        </w:tc>
        <w:tc>
          <w:tcPr>
            <w:tcW w:type="dxa" w:w="2268"/>
          </w:tcPr>
          <w:p>
            <w:pPr>
              <w:spacing w:after="40"/>
            </w:pPr>
            <w:r>
              <w:rPr>
                <w:rFonts w:ascii="宋体" w:hAnsi="宋体" w:eastAsia="宋体"/>
                <w:b w:val="0"/>
                <w:sz w:val="21"/>
              </w:rPr>
              <w:t>文保资源静态展示</w:t>
            </w:r>
          </w:p>
        </w:tc>
        <w:tc>
          <w:tcPr>
            <w:tcW w:type="dxa" w:w="4989"/>
          </w:tcPr>
          <w:p>
            <w:pPr>
              <w:spacing w:after="40"/>
            </w:pPr>
            <w:r>
              <w:rPr>
                <w:rFonts w:ascii="宋体" w:hAnsi="宋体" w:eastAsia="宋体"/>
                <w:b w:val="0"/>
                <w:sz w:val="21"/>
              </w:rPr>
              <w:t>庙会IP化运营、道文化研学、摩崖石刻文化径、汉服游园、祈福文创</w:t>
            </w:r>
          </w:p>
        </w:tc>
      </w:tr>
      <w:tr>
        <w:tc>
          <w:tcPr>
            <w:tcW w:type="dxa" w:w="1814"/>
            <w:shd w:val="clear" w:fill="F2F6F3"/>
          </w:tcPr>
          <w:p>
            <w:pPr>
              <w:spacing w:after="40"/>
            </w:pPr>
            <w:r>
              <w:rPr>
                <w:rFonts w:ascii="宋体" w:hAnsi="宋体" w:eastAsia="宋体"/>
                <w:b/>
                <w:sz w:val="21"/>
              </w:rPr>
              <w:t>康养休闲业态</w:t>
            </w:r>
          </w:p>
        </w:tc>
        <w:tc>
          <w:tcPr>
            <w:tcW w:type="dxa" w:w="2268"/>
            <w:shd w:val="clear" w:fill="F2F6F3"/>
          </w:tcPr>
          <w:p>
            <w:pPr>
              <w:spacing w:after="40"/>
            </w:pPr>
            <w:r>
              <w:rPr>
                <w:rFonts w:ascii="宋体" w:hAnsi="宋体" w:eastAsia="宋体"/>
                <w:b w:val="0"/>
                <w:sz w:val="21"/>
              </w:rPr>
              <w:t>缺乏停留型消费空间</w:t>
            </w:r>
          </w:p>
        </w:tc>
        <w:tc>
          <w:tcPr>
            <w:tcW w:type="dxa" w:w="4989"/>
            <w:shd w:val="clear" w:fill="F2F6F3"/>
          </w:tcPr>
          <w:p>
            <w:pPr>
              <w:spacing w:after="40"/>
            </w:pPr>
            <w:r>
              <w:rPr>
                <w:rFonts w:ascii="宋体" w:hAnsi="宋体" w:eastAsia="宋体"/>
                <w:b w:val="0"/>
                <w:sz w:val="21"/>
              </w:rPr>
              <w:t>庭院茶咖、森林书吧（建筑内改造）、疗愈步道、避暑营地（可移动装置）</w:t>
            </w:r>
          </w:p>
        </w:tc>
      </w:tr>
      <w:tr>
        <w:tc>
          <w:tcPr>
            <w:tcW w:type="dxa" w:w="1814"/>
          </w:tcPr>
          <w:p>
            <w:pPr>
              <w:spacing w:after="40"/>
            </w:pPr>
            <w:r>
              <w:rPr>
                <w:rFonts w:ascii="宋体" w:hAnsi="宋体" w:eastAsia="宋体"/>
                <w:b/>
                <w:sz w:val="21"/>
              </w:rPr>
              <w:t>服务配套设施</w:t>
            </w:r>
          </w:p>
        </w:tc>
        <w:tc>
          <w:tcPr>
            <w:tcW w:type="dxa" w:w="2268"/>
          </w:tcPr>
          <w:p>
            <w:pPr>
              <w:spacing w:after="40"/>
            </w:pPr>
            <w:r>
              <w:rPr>
                <w:rFonts w:ascii="宋体" w:hAnsi="宋体" w:eastAsia="宋体"/>
                <w:b w:val="0"/>
                <w:sz w:val="21"/>
              </w:rPr>
              <w:t>厕所、导览、休憩设施老化</w:t>
            </w:r>
          </w:p>
        </w:tc>
        <w:tc>
          <w:tcPr>
            <w:tcW w:type="dxa" w:w="4989"/>
          </w:tcPr>
          <w:p>
            <w:pPr>
              <w:spacing w:after="40"/>
            </w:pPr>
            <w:r>
              <w:rPr>
                <w:rFonts w:ascii="宋体" w:hAnsi="宋体" w:eastAsia="宋体"/>
                <w:b w:val="0"/>
                <w:sz w:val="21"/>
              </w:rPr>
              <w:t>驿站化改造既有建筑、母婴/无障碍设施、智慧导览</w:t>
            </w:r>
          </w:p>
        </w:tc>
      </w:tr>
      <w:tr>
        <w:tc>
          <w:tcPr>
            <w:tcW w:type="dxa" w:w="1814"/>
            <w:shd w:val="clear" w:fill="F2F6F3"/>
          </w:tcPr>
          <w:p>
            <w:pPr>
              <w:spacing w:after="40"/>
            </w:pPr>
            <w:r>
              <w:rPr>
                <w:rFonts w:ascii="宋体" w:hAnsi="宋体" w:eastAsia="宋体"/>
                <w:b/>
                <w:sz w:val="21"/>
              </w:rPr>
              <w:t>智慧运营系统</w:t>
            </w:r>
          </w:p>
        </w:tc>
        <w:tc>
          <w:tcPr>
            <w:tcW w:type="dxa" w:w="2268"/>
            <w:shd w:val="clear" w:fill="F2F6F3"/>
          </w:tcPr>
          <w:p>
            <w:pPr>
              <w:spacing w:after="40"/>
            </w:pPr>
            <w:r>
              <w:rPr>
                <w:rFonts w:ascii="宋体" w:hAnsi="宋体" w:eastAsia="宋体"/>
                <w:b w:val="0"/>
                <w:sz w:val="21"/>
              </w:rPr>
              <w:t>无线上运营能力</w:t>
            </w:r>
          </w:p>
        </w:tc>
        <w:tc>
          <w:tcPr>
            <w:tcW w:type="dxa" w:w="4989"/>
            <w:shd w:val="clear" w:fill="F2F6F3"/>
          </w:tcPr>
          <w:p>
            <w:pPr>
              <w:spacing w:after="40"/>
            </w:pPr>
            <w:r>
              <w:rPr>
                <w:rFonts w:ascii="宋体" w:hAnsi="宋体" w:eastAsia="宋体"/>
                <w:b w:val="0"/>
                <w:sz w:val="21"/>
              </w:rPr>
              <w:t>小程序（票务/导览/会员/商城）、客流监测、能耗管理（详见第九章）</w:t>
            </w:r>
          </w:p>
        </w:tc>
      </w:tr>
    </w:tbl>
    <w:p>
      <w:pPr>
        <w:spacing w:after="40"/>
      </w:pPr>
    </w:p>
    <w:p>
      <w:pPr>
        <w:spacing w:before="360" w:after="200"/>
        <w:keepNext/>
        <w:pBdr>
          <w:bottom w:val="single" w:sz="12" w:space="4" w:color="2E6E4E"/>
        </w:pBdr>
      </w:pPr>
      <w:r>
        <w:rPr>
          <w:rFonts w:ascii="微软雅黑" w:hAnsi="微软雅黑" w:eastAsia="微软雅黑"/>
          <w:b/>
          <w:color w:val="2E6E4E"/>
          <w:sz w:val="32"/>
        </w:rPr>
        <w:t>六　经营前景分析</w:t>
      </w:r>
    </w:p>
    <w:p>
      <w:pPr>
        <w:keepNext/>
        <w:spacing w:before="240" w:after="120"/>
      </w:pPr>
      <w:r>
        <w:rPr>
          <w:rFonts w:ascii="微软雅黑" w:hAnsi="微软雅黑" w:eastAsia="微软雅黑"/>
          <w:b/>
          <w:color w:val="333333"/>
          <w:sz w:val="27"/>
        </w:rPr>
        <w:t>6.1 冬季项目运营：与万峰雪场的城市级联动</w:t>
      </w:r>
    </w:p>
    <w:p>
      <w:pPr>
        <w:spacing w:after="120" w:line="336" w:lineRule="auto"/>
        <w:ind w:firstLine="480"/>
      </w:pPr>
      <w:r>
        <w:rPr>
          <w:rFonts w:ascii="宋体" w:hAnsi="宋体" w:eastAsia="宋体"/>
          <w:b w:val="0"/>
          <w:sz w:val="24"/>
        </w:rPr>
        <w:t>2025—2026雪季，万峰通化滑雪度假区接待游客首破100万人次、营收首破1亿元，成为继北大湖、松花湖之后吉林省第三家“百万级”雪场，客源覆盖珠三角、长三角；全市三家滑雪场合计接待112.24万人次。通化站至万峰免费接驳车雪季累计接送1.6万人次，“滑雪到通化”已成为省外游客共识。</w:t>
      </w:r>
    </w:p>
    <w:p>
      <w:pPr>
        <w:jc w:val="center"/>
      </w:pPr>
      <w:r>
        <w:drawing>
          <wp:inline xmlns:a="http://schemas.openxmlformats.org/drawingml/2006/main" xmlns:pic="http://schemas.openxmlformats.org/drawingml/2006/picture">
            <wp:extent cx="5580000" cy="3045440"/>
            <wp:docPr id="3" name="Picture 3"/>
            <wp:cNvGraphicFramePr>
              <a:graphicFrameLocks noChangeAspect="1"/>
            </wp:cNvGraphicFramePr>
            <a:graphic>
              <a:graphicData uri="http://schemas.openxmlformats.org/drawingml/2006/picture">
                <pic:pic>
                  <pic:nvPicPr>
                    <pic:cNvPr id="0" name="02_wanfeng_growth.png"/>
                    <pic:cNvPicPr/>
                  </pic:nvPicPr>
                  <pic:blipFill>
                    <a:blip r:embed="rId11"/>
                    <a:stretch>
                      <a:fillRect/>
                    </a:stretch>
                  </pic:blipFill>
                  <pic:spPr>
                    <a:xfrm>
                      <a:off x="0" y="0"/>
                      <a:ext cx="5580000" cy="3045440"/>
                    </a:xfrm>
                    <a:prstGeom prst="rect"/>
                  </pic:spPr>
                </pic:pic>
              </a:graphicData>
            </a:graphic>
          </wp:inline>
        </w:drawing>
      </w:r>
    </w:p>
    <w:p>
      <w:pPr>
        <w:spacing w:after="200"/>
        <w:jc w:val="center"/>
      </w:pPr>
      <w:r>
        <w:rPr>
          <w:rFonts w:ascii="微软雅黑" w:hAnsi="微软雅黑" w:eastAsia="微软雅黑"/>
          <w:b/>
          <w:color w:val="8A8F98"/>
          <w:sz w:val="20"/>
        </w:rPr>
        <w:t>图6-1 万峰雪场跃升“百万级”（数据来源：通化市文旅局、中国吉林网）</w:t>
      </w:r>
    </w:p>
    <w:p>
      <w:pPr>
        <w:spacing w:after="120" w:line="336" w:lineRule="auto"/>
        <w:ind w:firstLine="480"/>
      </w:pPr>
      <w:r>
        <w:rPr>
          <w:rFonts w:ascii="宋体" w:hAnsi="宋体" w:eastAsia="宋体"/>
          <w:b w:val="0"/>
          <w:sz w:val="24"/>
        </w:rPr>
        <w:t>联动逻辑：滑雪是“白天的生意”，城市需要“晚上的生意”。玉皇山冬季产品（冰灯庙会、雪圈戏雪、山顶夜景、温暖茶咖）恰好填补滑雪客群17:00后的消费空档，形成“白天滑雪在万峰、晚上灯火在玉皇”的城市动线；同时为不滑雪的随行家庭成员（老人、儿童）提供市区玩雪替代方案。具体联动措施：</w:t>
      </w:r>
    </w:p>
    <w:p>
      <w:pPr>
        <w:pStyle w:val="ListBullet"/>
        <w:spacing w:after="60" w:line="324" w:lineRule="auto"/>
      </w:pPr>
      <w:r>
        <w:rPr>
          <w:rFonts w:ascii="宋体" w:hAnsi="宋体" w:eastAsia="宋体"/>
          <w:b w:val="0"/>
          <w:sz w:val="24"/>
        </w:rPr>
        <w:t>与万峰互认联票/雪票尾单兑换玉皇山夜游票，双向导流；</w:t>
      </w:r>
    </w:p>
    <w:p>
      <w:pPr>
        <w:pStyle w:val="ListBullet"/>
        <w:spacing w:after="60" w:line="324" w:lineRule="auto"/>
      </w:pPr>
      <w:r>
        <w:rPr>
          <w:rFonts w:ascii="宋体" w:hAnsi="宋体" w:eastAsia="宋体"/>
          <w:b w:val="0"/>
          <w:sz w:val="24"/>
        </w:rPr>
        <w:t>接驳专线延伸：通化站—万峰—龙兴里—玉皇山夜游环线；</w:t>
      </w:r>
    </w:p>
    <w:p>
      <w:pPr>
        <w:pStyle w:val="ListBullet"/>
        <w:spacing w:after="60" w:line="324" w:lineRule="auto"/>
      </w:pPr>
      <w:r>
        <w:rPr>
          <w:rFonts w:ascii="宋体" w:hAnsi="宋体" w:eastAsia="宋体"/>
          <w:b w:val="0"/>
          <w:sz w:val="24"/>
        </w:rPr>
        <w:t>共办赛事节庆：雪季开板节、冰灯庙会、春节灯会与万峰嘉年华档期互补；</w:t>
      </w:r>
    </w:p>
    <w:p>
      <w:pPr>
        <w:pStyle w:val="ListBullet"/>
        <w:spacing w:after="60" w:line="324" w:lineRule="auto"/>
      </w:pPr>
      <w:r>
        <w:rPr>
          <w:rFonts w:ascii="宋体" w:hAnsi="宋体" w:eastAsia="宋体"/>
          <w:b w:val="0"/>
          <w:sz w:val="24"/>
        </w:rPr>
        <w:t>联合营销：进入万峰渠道包（OTA、俱乐部、包机包列产品）成为“通化两晚”标准行程。</w:t>
      </w:r>
    </w:p>
    <w:p>
      <w:pPr>
        <w:jc w:val="center"/>
      </w:pPr>
      <w:r>
        <w:drawing>
          <wp:inline xmlns:a="http://schemas.openxmlformats.org/drawingml/2006/main" xmlns:pic="http://schemas.openxmlformats.org/drawingml/2006/picture">
            <wp:extent cx="5580000" cy="2824444"/>
            <wp:docPr id="4" name="Picture 4"/>
            <wp:cNvGraphicFramePr>
              <a:graphicFrameLocks noChangeAspect="1"/>
            </wp:cNvGraphicFramePr>
            <a:graphic>
              <a:graphicData uri="http://schemas.openxmlformats.org/drawingml/2006/picture">
                <pic:pic>
                  <pic:nvPicPr>
                    <pic:cNvPr id="0" name="06_season_synergy.png"/>
                    <pic:cNvPicPr/>
                  </pic:nvPicPr>
                  <pic:blipFill>
                    <a:blip r:embed="rId12"/>
                    <a:stretch>
                      <a:fillRect/>
                    </a:stretch>
                  </pic:blipFill>
                  <pic:spPr>
                    <a:xfrm>
                      <a:off x="0" y="0"/>
                      <a:ext cx="5580000" cy="2824444"/>
                    </a:xfrm>
                    <a:prstGeom prst="rect"/>
                  </pic:spPr>
                </pic:pic>
              </a:graphicData>
            </a:graphic>
          </wp:inline>
        </w:drawing>
      </w:r>
    </w:p>
    <w:p>
      <w:pPr>
        <w:spacing w:after="200"/>
        <w:jc w:val="center"/>
      </w:pPr>
      <w:r>
        <w:rPr>
          <w:rFonts w:ascii="微软雅黑" w:hAnsi="微软雅黑" w:eastAsia="微软雅黑"/>
          <w:b/>
          <w:color w:val="8A8F98"/>
          <w:sz w:val="20"/>
        </w:rPr>
        <w:t>图6-2 玉皇山与万峰全年客流互补关系（规划示意）</w:t>
      </w:r>
    </w:p>
    <w:p>
      <w:pPr>
        <w:keepNext/>
        <w:spacing w:before="240" w:after="120"/>
      </w:pPr>
      <w:r>
        <w:rPr>
          <w:rFonts w:ascii="微软雅黑" w:hAnsi="微软雅黑" w:eastAsia="微软雅黑"/>
          <w:b/>
          <w:color w:val="333333"/>
          <w:sz w:val="27"/>
        </w:rPr>
        <w:t>6.2 全球变暖背景下的避暑需求</w:t>
      </w:r>
    </w:p>
    <w:p>
      <w:pPr>
        <w:spacing w:after="120" w:line="336" w:lineRule="auto"/>
        <w:ind w:firstLine="480"/>
      </w:pPr>
      <w:r>
        <w:rPr>
          <w:rFonts w:ascii="宋体" w:hAnsi="宋体" w:eastAsia="宋体"/>
          <w:b w:val="0"/>
          <w:sz w:val="24"/>
        </w:rPr>
        <w:t>全国平均高温日数持续攀升并屡创新高，避暑正从“偏好”变为“刚需”，南方“候鸟式避暑”人群规模逐年扩大。通化森林覆盖率66.64%，夏季平均气温约22℃，属“清爽吉林·22℃的夏天”核心区。玉皇山公园作为市区内即达的森林空间，是承接避暑长住客群日常休闲的最佳载体：森林步道、林荫茶咖、避暑营地、夏夜电音与啤酒节等产品可将“凉资源”转化为“热经济”。</w:t>
      </w:r>
    </w:p>
    <w:p>
      <w:pPr>
        <w:jc w:val="center"/>
      </w:pPr>
      <w:r>
        <w:drawing>
          <wp:inline xmlns:a="http://schemas.openxmlformats.org/drawingml/2006/main" xmlns:pic="http://schemas.openxmlformats.org/drawingml/2006/picture">
            <wp:extent cx="5580000" cy="3048610"/>
            <wp:docPr id="5" name="Picture 5"/>
            <wp:cNvGraphicFramePr>
              <a:graphicFrameLocks noChangeAspect="1"/>
            </wp:cNvGraphicFramePr>
            <a:graphic>
              <a:graphicData uri="http://schemas.openxmlformats.org/drawingml/2006/picture">
                <pic:pic>
                  <pic:nvPicPr>
                    <pic:cNvPr id="0" name="04_heat_trend.png"/>
                    <pic:cNvPicPr/>
                  </pic:nvPicPr>
                  <pic:blipFill>
                    <a:blip r:embed="rId13"/>
                    <a:stretch>
                      <a:fillRect/>
                    </a:stretch>
                  </pic:blipFill>
                  <pic:spPr>
                    <a:xfrm>
                      <a:off x="0" y="0"/>
                      <a:ext cx="5580000" cy="3048610"/>
                    </a:xfrm>
                    <a:prstGeom prst="rect"/>
                  </pic:spPr>
                </pic:pic>
              </a:graphicData>
            </a:graphic>
          </wp:inline>
        </w:drawing>
      </w:r>
    </w:p>
    <w:p>
      <w:pPr>
        <w:spacing w:after="200"/>
        <w:jc w:val="center"/>
      </w:pPr>
      <w:r>
        <w:rPr>
          <w:rFonts w:ascii="微软雅黑" w:hAnsi="微软雅黑" w:eastAsia="微软雅黑"/>
          <w:b/>
          <w:color w:val="8A8F98"/>
          <w:sz w:val="20"/>
        </w:rPr>
        <w:t>图6-3 全国高温日数趋势与通化避暑优势（数据来源：国家气候中心公开发布约值）</w:t>
      </w:r>
    </w:p>
    <w:p>
      <w:pPr>
        <w:keepNext/>
        <w:spacing w:before="240" w:after="120"/>
      </w:pPr>
      <w:r>
        <w:rPr>
          <w:rFonts w:ascii="微软雅黑" w:hAnsi="微软雅黑" w:eastAsia="微软雅黑"/>
          <w:b/>
          <w:color w:val="333333"/>
          <w:sz w:val="27"/>
        </w:rPr>
        <w:t>6.3 G331沿边开放旅游大通道节点价值</w:t>
      </w:r>
    </w:p>
    <w:p>
      <w:pPr>
        <w:spacing w:after="120" w:line="336" w:lineRule="auto"/>
        <w:ind w:firstLine="480"/>
      </w:pPr>
      <w:r>
        <w:rPr>
          <w:rFonts w:ascii="宋体" w:hAnsi="宋体" w:eastAsia="宋体"/>
          <w:b w:val="0"/>
          <w:sz w:val="24"/>
        </w:rPr>
        <w:t>G331吉林段1240公里于2025年9月28日全线贯通，串联216个边境村、16个口岸、45个3A级及以上景区，通化是通道西南起点城市和综合客运枢纽。国庆假期G331通化段进出车辆9.2万辆次、同比增长61.4%。自驾大通道的特征是“沿线快行、节点深游”——通化作为进入G331的第一站/最后一站，玉皇山“登高一览山城”恰是自驾客群理想的行程起点仪式和收官打卡点，公园应配套房车临时停靠、自驾服务驿站等功能。</w:t>
      </w:r>
    </w:p>
    <w:p>
      <w:pPr>
        <w:keepNext/>
        <w:spacing w:before="240" w:after="120"/>
      </w:pPr>
      <w:r>
        <w:rPr>
          <w:rFonts w:ascii="微软雅黑" w:hAnsi="微软雅黑" w:eastAsia="微软雅黑"/>
          <w:b/>
          <w:color w:val="333333"/>
          <w:sz w:val="27"/>
        </w:rPr>
        <w:t>6.4 沈白高铁客流红利</w:t>
      </w:r>
    </w:p>
    <w:p>
      <w:pPr>
        <w:spacing w:after="120" w:line="336" w:lineRule="auto"/>
        <w:ind w:firstLine="480"/>
      </w:pPr>
      <w:r>
        <w:rPr>
          <w:rFonts w:ascii="宋体" w:hAnsi="宋体" w:eastAsia="宋体"/>
          <w:b w:val="0"/>
          <w:sz w:val="24"/>
        </w:rPr>
        <w:t>沈白高铁2025年9月28日开通，设计时速350公里，通化正式接入全国高铁网：沈阳北至通化最快1小时01分，北京朝阳至长白山4小时33分。开通首月全线运送旅客超66万人次，通化站日均发送3000人次、居全线新建车站首位；2026年春运日均发送4400人次、峰值超7000人次。高铁带动通化主要景区游客量同比增长近两成，通化已“彻底告别旅游过境地身份”。</w:t>
      </w:r>
    </w:p>
    <w:p>
      <w:pPr>
        <w:jc w:val="center"/>
      </w:pPr>
      <w:r>
        <w:drawing>
          <wp:inline xmlns:a="http://schemas.openxmlformats.org/drawingml/2006/main" xmlns:pic="http://schemas.openxmlformats.org/drawingml/2006/picture">
            <wp:extent cx="5580000" cy="3045440"/>
            <wp:docPr id="6" name="Picture 6"/>
            <wp:cNvGraphicFramePr>
              <a:graphicFrameLocks noChangeAspect="1"/>
            </wp:cNvGraphicFramePr>
            <a:graphic>
              <a:graphicData uri="http://schemas.openxmlformats.org/drawingml/2006/picture">
                <pic:pic>
                  <pic:nvPicPr>
                    <pic:cNvPr id="0" name="03_hsr_flow.png"/>
                    <pic:cNvPicPr/>
                  </pic:nvPicPr>
                  <pic:blipFill>
                    <a:blip r:embed="rId14"/>
                    <a:stretch>
                      <a:fillRect/>
                    </a:stretch>
                  </pic:blipFill>
                  <pic:spPr>
                    <a:xfrm>
                      <a:off x="0" y="0"/>
                      <a:ext cx="5580000" cy="3045440"/>
                    </a:xfrm>
                    <a:prstGeom prst="rect"/>
                  </pic:spPr>
                </pic:pic>
              </a:graphicData>
            </a:graphic>
          </wp:inline>
        </w:drawing>
      </w:r>
    </w:p>
    <w:p>
      <w:pPr>
        <w:spacing w:after="200"/>
        <w:jc w:val="center"/>
      </w:pPr>
      <w:r>
        <w:rPr>
          <w:rFonts w:ascii="微软雅黑" w:hAnsi="微软雅黑" w:eastAsia="微软雅黑"/>
          <w:b/>
          <w:color w:val="8A8F98"/>
          <w:sz w:val="20"/>
        </w:rPr>
        <w:t>图6-4 沈白高铁通化站客流表现（数据来源：国铁集团、吉林省政府网）</w:t>
      </w:r>
    </w:p>
    <w:p>
      <w:pPr>
        <w:spacing w:after="120" w:line="336" w:lineRule="auto"/>
        <w:ind w:firstLine="480"/>
      </w:pPr>
      <w:r>
        <w:rPr>
          <w:rFonts w:ascii="宋体" w:hAnsi="宋体" w:eastAsia="宋体"/>
          <w:b w:val="0"/>
          <w:sz w:val="24"/>
        </w:rPr>
        <w:t>玉皇山承接策略：针对高铁客群开发“2小时城市速览”产品（高铁票根优惠联动政策已在全市实施）、行李寄存+接驳直通、山顶观景+文创伴手礼快线，把候车/中转时间变为消费时间。</w:t>
      </w:r>
    </w:p>
    <w:p>
      <w:pPr>
        <w:keepNext/>
        <w:spacing w:before="240" w:after="120"/>
      </w:pPr>
      <w:r>
        <w:rPr>
          <w:rFonts w:ascii="微软雅黑" w:hAnsi="微软雅黑" w:eastAsia="微软雅黑"/>
          <w:b/>
          <w:color w:val="333333"/>
          <w:sz w:val="27"/>
        </w:rPr>
        <w:t>6.5 以长白山为核心的区域联动前景</w:t>
      </w:r>
    </w:p>
    <w:p>
      <w:pPr>
        <w:spacing w:after="120" w:line="336" w:lineRule="auto"/>
        <w:ind w:firstLine="480"/>
      </w:pPr>
      <w:r>
        <w:rPr>
          <w:rFonts w:ascii="宋体" w:hAnsi="宋体" w:eastAsia="宋体"/>
          <w:b w:val="0"/>
          <w:sz w:val="24"/>
        </w:rPr>
        <w:t>沈白高铁使通化—长白山进入约1小时交通圈，通化成为长白山旅游西南门户和“大长白山旅游圈”重要一环。长白山站日均发送旅客5023人次、同比增长40%，区域客流基数庞大。通化的机会在于以价格与烟火气优势承接长白山溢出客流：“游长白山、住通化、夜玉皇”，即以市区更优的住宿性价比+夜间产品，把长白山行程的一晚留在通化。玉皇山夜游是这一策略的核心抓手。综合判断：公园经营面向“万峰雪季百万客流+长白山过境客流+G331自驾客流+本地280万区域人口”四重市场，客源保障充分，前景确定性高。</w:t>
      </w:r>
    </w:p>
    <w:p>
      <w:pPr>
        <w:spacing w:before="360" w:after="200"/>
        <w:keepNext/>
        <w:pBdr>
          <w:bottom w:val="single" w:sz="12" w:space="4" w:color="2E6E4E"/>
        </w:pBdr>
      </w:pPr>
      <w:r>
        <w:rPr>
          <w:rFonts w:ascii="微软雅黑" w:hAnsi="微软雅黑" w:eastAsia="微软雅黑"/>
          <w:b/>
          <w:color w:val="2E6E4E"/>
          <w:sz w:val="32"/>
        </w:rPr>
        <w:t>七　市场空白分析：通化留客能力不足与改造迫切性</w:t>
      </w:r>
    </w:p>
    <w:p>
      <w:pPr>
        <w:spacing w:after="120" w:line="336" w:lineRule="auto"/>
        <w:ind w:firstLine="480"/>
      </w:pPr>
      <w:r>
        <w:rPr>
          <w:rFonts w:ascii="宋体" w:hAnsi="宋体" w:eastAsia="宋体"/>
          <w:b w:val="0"/>
          <w:sz w:val="24"/>
        </w:rPr>
        <w:t>通化的流量结构呈现明显的“过境化”特征：万峰在城郊、高句丽在集安、长白山在东侧，游客在通化市区的停留时间与消费深度不足，“旅长游短”在市区层面依然存在。市区现有夜间产品以龙兴里街区为主，供给单一，尚无山地型、观景型、亲子型夜间产品。</w:t>
      </w:r>
    </w:p>
    <w:p>
      <w:pPr>
        <w:jc w:val="center"/>
      </w:pPr>
      <w:r>
        <w:drawing>
          <wp:inline xmlns:a="http://schemas.openxmlformats.org/drawingml/2006/main" xmlns:pic="http://schemas.openxmlformats.org/drawingml/2006/picture">
            <wp:extent cx="5580000" cy="2199807"/>
            <wp:docPr id="7" name="Picture 7"/>
            <wp:cNvGraphicFramePr>
              <a:graphicFrameLocks noChangeAspect="1"/>
            </wp:cNvGraphicFramePr>
            <a:graphic>
              <a:graphicData uri="http://schemas.openxmlformats.org/drawingml/2006/picture">
                <pic:pic>
                  <pic:nvPicPr>
                    <pic:cNvPr id="0" name="07_market_gap.png"/>
                    <pic:cNvPicPr/>
                  </pic:nvPicPr>
                  <pic:blipFill>
                    <a:blip r:embed="rId15"/>
                    <a:stretch>
                      <a:fillRect/>
                    </a:stretch>
                  </pic:blipFill>
                  <pic:spPr>
                    <a:xfrm>
                      <a:off x="0" y="0"/>
                      <a:ext cx="5580000" cy="2199807"/>
                    </a:xfrm>
                    <a:prstGeom prst="rect"/>
                  </pic:spPr>
                </pic:pic>
              </a:graphicData>
            </a:graphic>
          </wp:inline>
        </w:drawing>
      </w:r>
    </w:p>
    <w:p>
      <w:pPr>
        <w:spacing w:after="200"/>
        <w:jc w:val="center"/>
      </w:pPr>
      <w:r>
        <w:rPr>
          <w:rFonts w:ascii="微软雅黑" w:hAnsi="微软雅黑" w:eastAsia="微软雅黑"/>
          <w:b/>
          <w:color w:val="8A8F98"/>
          <w:sz w:val="20"/>
        </w:rPr>
        <w:t>图7-1 停留时间差距与市区业态空白评估（规划调研示意）</w:t>
      </w:r>
    </w:p>
    <w:p>
      <w:pPr>
        <w:keepNext/>
        <w:spacing w:before="240" w:after="120"/>
      </w:pPr>
      <w:r>
        <w:rPr>
          <w:rFonts w:ascii="微软雅黑" w:hAnsi="微软雅黑" w:eastAsia="微软雅黑"/>
          <w:b/>
          <w:color w:val="333333"/>
          <w:sz w:val="27"/>
        </w:rPr>
        <w:t>7.1 六大市场空白</w:t>
      </w:r>
    </w:p>
    <w:tbl>
      <w:tblPr>
        <w:tblStyle w:val="TableGrid"/>
        <w:tblW w:type="auto" w:w="0"/>
        <w:jc w:val="center"/>
        <w:tblLook w:firstColumn="1" w:firstRow="1" w:lastColumn="0" w:lastRow="0" w:noHBand="0" w:noVBand="1" w:val="04A0"/>
      </w:tblPr>
      <w:tblGrid>
        <w:gridCol w:w="3024"/>
        <w:gridCol w:w="3024"/>
        <w:gridCol w:w="3024"/>
      </w:tblGrid>
      <w:tr>
        <w:tc>
          <w:tcPr>
            <w:tcW w:type="dxa" w:w="1928"/>
            <w:shd w:val="clear" w:fill="2E6E4E"/>
          </w:tcPr>
          <w:p>
            <w:pPr>
              <w:jc w:val="center"/>
            </w:pPr>
            <w:r>
              <w:rPr>
                <w:rFonts w:ascii="微软雅黑" w:hAnsi="微软雅黑" w:eastAsia="微软雅黑"/>
                <w:b/>
                <w:color w:val="FFFFFF"/>
                <w:sz w:val="21"/>
              </w:rPr>
              <w:t>空白领域</w:t>
            </w:r>
          </w:p>
        </w:tc>
        <w:tc>
          <w:tcPr>
            <w:tcW w:type="dxa" w:w="3061"/>
            <w:shd w:val="clear" w:fill="2E6E4E"/>
          </w:tcPr>
          <w:p>
            <w:pPr>
              <w:jc w:val="center"/>
            </w:pPr>
            <w:r>
              <w:rPr>
                <w:rFonts w:ascii="微软雅黑" w:hAnsi="微软雅黑" w:eastAsia="微软雅黑"/>
                <w:b/>
                <w:color w:val="FFFFFF"/>
                <w:sz w:val="21"/>
              </w:rPr>
              <w:t>现状</w:t>
            </w:r>
          </w:p>
        </w:tc>
        <w:tc>
          <w:tcPr>
            <w:tcW w:type="dxa" w:w="4082"/>
            <w:shd w:val="clear" w:fill="2E6E4E"/>
          </w:tcPr>
          <w:p>
            <w:pPr>
              <w:jc w:val="center"/>
            </w:pPr>
            <w:r>
              <w:rPr>
                <w:rFonts w:ascii="微软雅黑" w:hAnsi="微软雅黑" w:eastAsia="微软雅黑"/>
                <w:b/>
                <w:color w:val="FFFFFF"/>
                <w:sz w:val="21"/>
              </w:rPr>
              <w:t>玉皇山填补方式</w:t>
            </w:r>
          </w:p>
        </w:tc>
      </w:tr>
      <w:tr>
        <w:tc>
          <w:tcPr>
            <w:tcW w:type="dxa" w:w="1928"/>
          </w:tcPr>
          <w:p>
            <w:pPr>
              <w:spacing w:after="40"/>
            </w:pPr>
            <w:r>
              <w:rPr>
                <w:rFonts w:ascii="宋体" w:hAnsi="宋体" w:eastAsia="宋体"/>
                <w:b/>
                <w:sz w:val="21"/>
              </w:rPr>
              <w:t>城市级夜游夜景</w:t>
            </w:r>
          </w:p>
        </w:tc>
        <w:tc>
          <w:tcPr>
            <w:tcW w:type="dxa" w:w="3061"/>
          </w:tcPr>
          <w:p>
            <w:pPr>
              <w:spacing w:after="40"/>
            </w:pPr>
            <w:r>
              <w:rPr>
                <w:rFonts w:ascii="宋体" w:hAnsi="宋体" w:eastAsia="宋体"/>
                <w:b w:val="0"/>
                <w:sz w:val="21"/>
              </w:rPr>
              <w:t>市区无山体夜游、无城市夜景观赏点</w:t>
            </w:r>
          </w:p>
        </w:tc>
        <w:tc>
          <w:tcPr>
            <w:tcW w:type="dxa" w:w="4082"/>
          </w:tcPr>
          <w:p>
            <w:pPr>
              <w:spacing w:after="40"/>
            </w:pPr>
            <w:r>
              <w:rPr>
                <w:rFonts w:ascii="宋体" w:hAnsi="宋体" w:eastAsia="宋体"/>
                <w:b w:val="0"/>
                <w:sz w:val="21"/>
              </w:rPr>
              <w:t>山体亮化+架空观景平台+光影夜游线，唯一性强</w:t>
            </w:r>
          </w:p>
        </w:tc>
      </w:tr>
      <w:tr>
        <w:tc>
          <w:tcPr>
            <w:tcW w:type="dxa" w:w="1928"/>
            <w:shd w:val="clear" w:fill="F2F6F3"/>
          </w:tcPr>
          <w:p>
            <w:pPr>
              <w:spacing w:after="40"/>
            </w:pPr>
            <w:r>
              <w:rPr>
                <w:rFonts w:ascii="宋体" w:hAnsi="宋体" w:eastAsia="宋体"/>
                <w:b/>
                <w:sz w:val="21"/>
              </w:rPr>
              <w:t>山地亲子乐园</w:t>
            </w:r>
          </w:p>
        </w:tc>
        <w:tc>
          <w:tcPr>
            <w:tcW w:type="dxa" w:w="3061"/>
            <w:shd w:val="clear" w:fill="F2F6F3"/>
          </w:tcPr>
          <w:p>
            <w:pPr>
              <w:spacing w:after="40"/>
            </w:pPr>
            <w:r>
              <w:rPr>
                <w:rFonts w:ascii="宋体" w:hAnsi="宋体" w:eastAsia="宋体"/>
                <w:b w:val="0"/>
                <w:sz w:val="21"/>
              </w:rPr>
              <w:t>市区无成规模无动力亲子乐园</w:t>
            </w:r>
          </w:p>
        </w:tc>
        <w:tc>
          <w:tcPr>
            <w:tcW w:type="dxa" w:w="4082"/>
            <w:shd w:val="clear" w:fill="F2F6F3"/>
          </w:tcPr>
          <w:p>
            <w:pPr>
              <w:spacing w:after="40"/>
            </w:pPr>
            <w:r>
              <w:rPr>
                <w:rFonts w:ascii="宋体" w:hAnsi="宋体" w:eastAsia="宋体"/>
                <w:b w:val="0"/>
                <w:sz w:val="21"/>
              </w:rPr>
              <w:t>建设用地内布设无动力乐园+四季戏雪戏水</w:t>
            </w:r>
          </w:p>
        </w:tc>
      </w:tr>
      <w:tr>
        <w:tc>
          <w:tcPr>
            <w:tcW w:type="dxa" w:w="1928"/>
          </w:tcPr>
          <w:p>
            <w:pPr>
              <w:spacing w:after="40"/>
            </w:pPr>
            <w:r>
              <w:rPr>
                <w:rFonts w:ascii="宋体" w:hAnsi="宋体" w:eastAsia="宋体"/>
                <w:b/>
                <w:sz w:val="21"/>
              </w:rPr>
              <w:t>城市观景地标</w:t>
            </w:r>
          </w:p>
        </w:tc>
        <w:tc>
          <w:tcPr>
            <w:tcW w:type="dxa" w:w="3061"/>
          </w:tcPr>
          <w:p>
            <w:pPr>
              <w:spacing w:after="40"/>
            </w:pPr>
            <w:r>
              <w:rPr>
                <w:rFonts w:ascii="宋体" w:hAnsi="宋体" w:eastAsia="宋体"/>
                <w:b w:val="0"/>
                <w:sz w:val="21"/>
              </w:rPr>
              <w:t>无“一览通化全城”的标志性体验</w:t>
            </w:r>
          </w:p>
        </w:tc>
        <w:tc>
          <w:tcPr>
            <w:tcW w:type="dxa" w:w="4082"/>
          </w:tcPr>
          <w:p>
            <w:pPr>
              <w:spacing w:after="40"/>
            </w:pPr>
            <w:r>
              <w:rPr>
                <w:rFonts w:ascii="宋体" w:hAnsi="宋体" w:eastAsia="宋体"/>
                <w:b w:val="0"/>
                <w:sz w:val="21"/>
              </w:rPr>
              <w:t>山巅“城市阳台”，游客来通“第一张全景照”</w:t>
            </w:r>
          </w:p>
        </w:tc>
      </w:tr>
      <w:tr>
        <w:tc>
          <w:tcPr>
            <w:tcW w:type="dxa" w:w="1928"/>
            <w:shd w:val="clear" w:fill="F2F6F3"/>
          </w:tcPr>
          <w:p>
            <w:pPr>
              <w:spacing w:after="40"/>
            </w:pPr>
            <w:r>
              <w:rPr>
                <w:rFonts w:ascii="宋体" w:hAnsi="宋体" w:eastAsia="宋体"/>
                <w:b/>
                <w:sz w:val="21"/>
              </w:rPr>
              <w:t>市区冬季玩雪</w:t>
            </w:r>
          </w:p>
        </w:tc>
        <w:tc>
          <w:tcPr>
            <w:tcW w:type="dxa" w:w="3061"/>
            <w:shd w:val="clear" w:fill="F2F6F3"/>
          </w:tcPr>
          <w:p>
            <w:pPr>
              <w:spacing w:after="40"/>
            </w:pPr>
            <w:r>
              <w:rPr>
                <w:rFonts w:ascii="宋体" w:hAnsi="宋体" w:eastAsia="宋体"/>
                <w:b w:val="0"/>
                <w:sz w:val="21"/>
              </w:rPr>
              <w:t>玩雪必须去雪场，家庭客群不便</w:t>
            </w:r>
          </w:p>
        </w:tc>
        <w:tc>
          <w:tcPr>
            <w:tcW w:type="dxa" w:w="4082"/>
            <w:shd w:val="clear" w:fill="F2F6F3"/>
          </w:tcPr>
          <w:p>
            <w:pPr>
              <w:spacing w:after="40"/>
            </w:pPr>
            <w:r>
              <w:rPr>
                <w:rFonts w:ascii="宋体" w:hAnsi="宋体" w:eastAsia="宋体"/>
                <w:b w:val="0"/>
                <w:sz w:val="21"/>
              </w:rPr>
              <w:t>市区雪圈场+冰灯庙会，滑雪客群家属承接地</w:t>
            </w:r>
          </w:p>
        </w:tc>
      </w:tr>
      <w:tr>
        <w:tc>
          <w:tcPr>
            <w:tcW w:type="dxa" w:w="1928"/>
          </w:tcPr>
          <w:p>
            <w:pPr>
              <w:spacing w:after="40"/>
            </w:pPr>
            <w:r>
              <w:rPr>
                <w:rFonts w:ascii="宋体" w:hAnsi="宋体" w:eastAsia="宋体"/>
                <w:b/>
                <w:sz w:val="21"/>
              </w:rPr>
              <w:t>文化沉浸体验</w:t>
            </w:r>
          </w:p>
        </w:tc>
        <w:tc>
          <w:tcPr>
            <w:tcW w:type="dxa" w:w="3061"/>
          </w:tcPr>
          <w:p>
            <w:pPr>
              <w:spacing w:after="40"/>
            </w:pPr>
            <w:r>
              <w:rPr>
                <w:rFonts w:ascii="宋体" w:hAnsi="宋体" w:eastAsia="宋体"/>
                <w:b w:val="0"/>
                <w:sz w:val="21"/>
              </w:rPr>
              <w:t>文保点静态观览，缺互动消费</w:t>
            </w:r>
          </w:p>
        </w:tc>
        <w:tc>
          <w:tcPr>
            <w:tcW w:type="dxa" w:w="4082"/>
          </w:tcPr>
          <w:p>
            <w:pPr>
              <w:spacing w:after="40"/>
            </w:pPr>
            <w:r>
              <w:rPr>
                <w:rFonts w:ascii="宋体" w:hAnsi="宋体" w:eastAsia="宋体"/>
                <w:b w:val="0"/>
                <w:sz w:val="21"/>
              </w:rPr>
              <w:t>庙会IP、祈福文创、道文化研学、汉服游园</w:t>
            </w:r>
          </w:p>
        </w:tc>
      </w:tr>
      <w:tr>
        <w:tc>
          <w:tcPr>
            <w:tcW w:type="dxa" w:w="1928"/>
            <w:shd w:val="clear" w:fill="F2F6F3"/>
          </w:tcPr>
          <w:p>
            <w:pPr>
              <w:spacing w:after="40"/>
            </w:pPr>
            <w:r>
              <w:rPr>
                <w:rFonts w:ascii="宋体" w:hAnsi="宋体" w:eastAsia="宋体"/>
                <w:b/>
                <w:sz w:val="21"/>
              </w:rPr>
              <w:t>康养微度假</w:t>
            </w:r>
          </w:p>
        </w:tc>
        <w:tc>
          <w:tcPr>
            <w:tcW w:type="dxa" w:w="3061"/>
            <w:shd w:val="clear" w:fill="F2F6F3"/>
          </w:tcPr>
          <w:p>
            <w:pPr>
              <w:spacing w:after="40"/>
            </w:pPr>
            <w:r>
              <w:rPr>
                <w:rFonts w:ascii="宋体" w:hAnsi="宋体" w:eastAsia="宋体"/>
                <w:b w:val="0"/>
                <w:sz w:val="21"/>
              </w:rPr>
              <w:t>避暑客群缺乏市区日常休闲载体</w:t>
            </w:r>
          </w:p>
        </w:tc>
        <w:tc>
          <w:tcPr>
            <w:tcW w:type="dxa" w:w="4082"/>
            <w:shd w:val="clear" w:fill="F2F6F3"/>
          </w:tcPr>
          <w:p>
            <w:pPr>
              <w:spacing w:after="40"/>
            </w:pPr>
            <w:r>
              <w:rPr>
                <w:rFonts w:ascii="宋体" w:hAnsi="宋体" w:eastAsia="宋体"/>
                <w:b w:val="0"/>
                <w:sz w:val="21"/>
              </w:rPr>
              <w:t>森林步道+庭院茶咖+避暑营地</w:t>
            </w:r>
          </w:p>
        </w:tc>
      </w:tr>
    </w:tbl>
    <w:p>
      <w:pPr>
        <w:spacing w:after="40"/>
      </w:pPr>
    </w:p>
    <w:p>
      <w:pPr>
        <w:keepNext/>
        <w:spacing w:before="240" w:after="120"/>
      </w:pPr>
      <w:r>
        <w:rPr>
          <w:rFonts w:ascii="微软雅黑" w:hAnsi="微软雅黑" w:eastAsia="微软雅黑"/>
          <w:b/>
          <w:color w:val="333333"/>
          <w:sz w:val="27"/>
        </w:rPr>
        <w:t>7.2 迫切性结论</w:t>
      </w:r>
    </w:p>
    <w:p>
      <w:pPr>
        <w:spacing w:after="120" w:line="336" w:lineRule="auto"/>
        <w:ind w:firstLine="480"/>
      </w:pPr>
      <w:r>
        <w:rPr>
          <w:rFonts w:ascii="宋体" w:hAnsi="宋体" w:eastAsia="宋体"/>
          <w:b w:val="0"/>
          <w:sz w:val="24"/>
        </w:rPr>
        <w:t>每一个空白都对应正在流失的消费：滑雪客群的夜间消费、高铁中转客群的两小时消费、避暑客群的长住消费。双线贯通与万峰破百万的红利期已经打开，谁先建成市区留客产品，谁就锁定渠道与心智。玉皇山公园改造不是“锦上添花”的园林工程，而是通化把过境流量转化为城市消费的“最后一块拼图”，具有强烈的时间紧迫性，建议按“一年建成、两年成势、三年成名”推进。</w:t>
      </w:r>
    </w:p>
    <w:p>
      <w:pPr>
        <w:spacing w:before="360" w:after="200"/>
        <w:keepNext/>
        <w:pBdr>
          <w:bottom w:val="single" w:sz="12" w:space="4" w:color="2E6E4E"/>
        </w:pBdr>
      </w:pPr>
      <w:r>
        <w:rPr>
          <w:rFonts w:ascii="微软雅黑" w:hAnsi="微软雅黑" w:eastAsia="微软雅黑"/>
          <w:b/>
          <w:color w:val="2E6E4E"/>
          <w:sz w:val="32"/>
        </w:rPr>
        <w:t>八　投入产出分析与营业收入提升50%方案</w:t>
      </w:r>
    </w:p>
    <w:p>
      <w:pPr>
        <w:keepNext/>
        <w:spacing w:before="240" w:after="120"/>
      </w:pPr>
      <w:r>
        <w:rPr>
          <w:rFonts w:ascii="微软雅黑" w:hAnsi="微软雅黑" w:eastAsia="微软雅黑"/>
          <w:b/>
          <w:color w:val="333333"/>
          <w:sz w:val="27"/>
        </w:rPr>
        <w:t>8.1 测算基准说明</w:t>
      </w:r>
    </w:p>
    <w:p>
      <w:pPr>
        <w:spacing w:after="120" w:line="336" w:lineRule="auto"/>
        <w:ind w:firstLine="480"/>
      </w:pPr>
      <w:r>
        <w:rPr>
          <w:rFonts w:ascii="宋体" w:hAnsi="宋体" w:eastAsia="宋体"/>
          <w:b w:val="0"/>
          <w:sz w:val="24"/>
        </w:rPr>
        <w:t>本章以附件工作表05（投入预估）、工作表06（营业收入预估）为基准（本报告编制环境中未能读取该附件原始数据，故将其合计营业收入记为“基准=100%”进行结构化拆解；文中另附可直接替换参数的示例测算表，请以贵司实际工作表数据代入后复核）。目标：在工作表06基准营业收入之上提升50%。</w:t>
      </w:r>
    </w:p>
    <w:p>
      <w:pPr>
        <w:keepNext/>
        <w:spacing w:before="240" w:after="120"/>
      </w:pPr>
      <w:r>
        <w:rPr>
          <w:rFonts w:ascii="微软雅黑" w:hAnsi="微软雅黑" w:eastAsia="微软雅黑"/>
          <w:b/>
          <w:color w:val="333333"/>
          <w:sz w:val="27"/>
        </w:rPr>
        <w:t>8.2 提升50%的路径拆解</w:t>
      </w:r>
    </w:p>
    <w:p>
      <w:pPr>
        <w:jc w:val="center"/>
      </w:pPr>
      <w:r>
        <w:drawing>
          <wp:inline xmlns:a="http://schemas.openxmlformats.org/drawingml/2006/main" xmlns:pic="http://schemas.openxmlformats.org/drawingml/2006/picture">
            <wp:extent cx="5580000" cy="2759341"/>
            <wp:docPr id="8" name="Picture 8"/>
            <wp:cNvGraphicFramePr>
              <a:graphicFrameLocks noChangeAspect="1"/>
            </wp:cNvGraphicFramePr>
            <a:graphic>
              <a:graphicData uri="http://schemas.openxmlformats.org/drawingml/2006/picture">
                <pic:pic>
                  <pic:nvPicPr>
                    <pic:cNvPr id="0" name="08_revenue_uplift.png"/>
                    <pic:cNvPicPr/>
                  </pic:nvPicPr>
                  <pic:blipFill>
                    <a:blip r:embed="rId16"/>
                    <a:stretch>
                      <a:fillRect/>
                    </a:stretch>
                  </pic:blipFill>
                  <pic:spPr>
                    <a:xfrm>
                      <a:off x="0" y="0"/>
                      <a:ext cx="5580000" cy="2759341"/>
                    </a:xfrm>
                    <a:prstGeom prst="rect"/>
                  </pic:spPr>
                </pic:pic>
              </a:graphicData>
            </a:graphic>
          </wp:inline>
        </w:drawing>
      </w:r>
    </w:p>
    <w:p>
      <w:pPr>
        <w:spacing w:after="200"/>
        <w:jc w:val="center"/>
      </w:pPr>
      <w:r>
        <w:rPr>
          <w:rFonts w:ascii="微软雅黑" w:hAnsi="微软雅黑" w:eastAsia="微软雅黑"/>
          <w:b/>
          <w:color w:val="8A8F98"/>
          <w:sz w:val="20"/>
        </w:rPr>
        <w:t>图8-1 营业收入提升50%路径瀑布图（基准=工作表05/06合计收入）</w:t>
      </w:r>
    </w:p>
    <w:tbl>
      <w:tblPr>
        <w:tblStyle w:val="TableGrid"/>
        <w:tblW w:type="auto" w:w="0"/>
        <w:jc w:val="center"/>
        <w:tblLook w:firstColumn="1" w:firstRow="1" w:lastColumn="0" w:lastRow="0" w:noHBand="0" w:noVBand="1" w:val="04A0"/>
      </w:tblPr>
      <w:tblGrid>
        <w:gridCol w:w="3024"/>
        <w:gridCol w:w="3024"/>
        <w:gridCol w:w="3024"/>
      </w:tblGrid>
      <w:tr>
        <w:tc>
          <w:tcPr>
            <w:tcW w:type="dxa" w:w="2041"/>
            <w:shd w:val="clear" w:fill="2E6E4E"/>
          </w:tcPr>
          <w:p>
            <w:pPr>
              <w:jc w:val="center"/>
            </w:pPr>
            <w:r>
              <w:rPr>
                <w:rFonts w:ascii="微软雅黑" w:hAnsi="微软雅黑" w:eastAsia="微软雅黑"/>
                <w:b/>
                <w:color w:val="FFFFFF"/>
                <w:sz w:val="21"/>
              </w:rPr>
              <w:t>路径</w:t>
            </w:r>
          </w:p>
        </w:tc>
        <w:tc>
          <w:tcPr>
            <w:tcW w:type="dxa" w:w="1134"/>
            <w:shd w:val="clear" w:fill="2E6E4E"/>
          </w:tcPr>
          <w:p>
            <w:pPr>
              <w:jc w:val="center"/>
            </w:pPr>
            <w:r>
              <w:rPr>
                <w:rFonts w:ascii="微软雅黑" w:hAnsi="微软雅黑" w:eastAsia="微软雅黑"/>
                <w:b/>
                <w:color w:val="FFFFFF"/>
                <w:sz w:val="21"/>
              </w:rPr>
              <w:t>增量贡献</w:t>
            </w:r>
          </w:p>
        </w:tc>
        <w:tc>
          <w:tcPr>
            <w:tcW w:type="dxa" w:w="5896"/>
            <w:shd w:val="clear" w:fill="2E6E4E"/>
          </w:tcPr>
          <w:p>
            <w:pPr>
              <w:jc w:val="center"/>
            </w:pPr>
            <w:r>
              <w:rPr>
                <w:rFonts w:ascii="微软雅黑" w:hAnsi="微软雅黑" w:eastAsia="微软雅黑"/>
                <w:b/>
                <w:color w:val="FFFFFF"/>
                <w:sz w:val="21"/>
              </w:rPr>
              <w:t>分项目具体措施</w:t>
            </w:r>
          </w:p>
        </w:tc>
      </w:tr>
      <w:tr>
        <w:tc>
          <w:tcPr>
            <w:tcW w:type="dxa" w:w="2041"/>
          </w:tcPr>
          <w:p>
            <w:pPr>
              <w:spacing w:after="40"/>
            </w:pPr>
            <w:r>
              <w:rPr>
                <w:rFonts w:ascii="宋体" w:hAnsi="宋体" w:eastAsia="宋体"/>
                <w:b/>
                <w:sz w:val="21"/>
              </w:rPr>
              <w:t>① 夜游经济+灯光秀二销</w:t>
            </w:r>
          </w:p>
        </w:tc>
        <w:tc>
          <w:tcPr>
            <w:tcW w:type="dxa" w:w="1134"/>
          </w:tcPr>
          <w:p>
            <w:pPr>
              <w:spacing w:after="40"/>
            </w:pPr>
            <w:r>
              <w:rPr>
                <w:rFonts w:ascii="宋体" w:hAnsi="宋体" w:eastAsia="宋体"/>
                <w:b w:val="0"/>
                <w:sz w:val="21"/>
              </w:rPr>
              <w:t>+13%</w:t>
            </w:r>
          </w:p>
        </w:tc>
        <w:tc>
          <w:tcPr>
            <w:tcW w:type="dxa" w:w="5896"/>
          </w:tcPr>
          <w:p>
            <w:pPr>
              <w:spacing w:after="40"/>
            </w:pPr>
            <w:r>
              <w:rPr>
                <w:rFonts w:ascii="宋体" w:hAnsi="宋体" w:eastAsia="宋体"/>
                <w:b w:val="0"/>
                <w:sz w:val="21"/>
              </w:rPr>
              <w:t>山体光影夜游单独售票（夜场票=日场票约60%定价，新增客群而非分流）；夜市集市摊位租金+流水抽成；夜游联带餐饮酒饮消费；节假日夜场延时至22:00</w:t>
            </w:r>
          </w:p>
        </w:tc>
      </w:tr>
      <w:tr>
        <w:tc>
          <w:tcPr>
            <w:tcW w:type="dxa" w:w="2041"/>
            <w:shd w:val="clear" w:fill="F2F6F3"/>
          </w:tcPr>
          <w:p>
            <w:pPr>
              <w:spacing w:after="40"/>
            </w:pPr>
            <w:r>
              <w:rPr>
                <w:rFonts w:ascii="宋体" w:hAnsi="宋体" w:eastAsia="宋体"/>
                <w:b/>
                <w:sz w:val="21"/>
              </w:rPr>
              <w:t>② 冬季项目+万峰联动</w:t>
            </w:r>
          </w:p>
        </w:tc>
        <w:tc>
          <w:tcPr>
            <w:tcW w:type="dxa" w:w="1134"/>
            <w:shd w:val="clear" w:fill="F2F6F3"/>
          </w:tcPr>
          <w:p>
            <w:pPr>
              <w:spacing w:after="40"/>
            </w:pPr>
            <w:r>
              <w:rPr>
                <w:rFonts w:ascii="宋体" w:hAnsi="宋体" w:eastAsia="宋体"/>
                <w:b w:val="0"/>
                <w:sz w:val="21"/>
              </w:rPr>
              <w:t>+11%</w:t>
            </w:r>
          </w:p>
        </w:tc>
        <w:tc>
          <w:tcPr>
            <w:tcW w:type="dxa" w:w="5896"/>
            <w:shd w:val="clear" w:fill="F2F6F3"/>
          </w:tcPr>
          <w:p>
            <w:pPr>
              <w:spacing w:after="40"/>
            </w:pPr>
            <w:r>
              <w:rPr>
                <w:rFonts w:ascii="宋体" w:hAnsi="宋体" w:eastAsia="宋体"/>
                <w:b w:val="0"/>
                <w:sz w:val="21"/>
              </w:rPr>
              <w:t>雪圈戏雪场按小时计费+装备租赁；冰灯庙会（腊月—正月）单独售票；与万峰联票分成及雪票兑换引流；滑雪客群家属日间托管套餐</w:t>
            </w:r>
          </w:p>
        </w:tc>
      </w:tr>
      <w:tr>
        <w:tc>
          <w:tcPr>
            <w:tcW w:type="dxa" w:w="2041"/>
          </w:tcPr>
          <w:p>
            <w:pPr>
              <w:spacing w:after="40"/>
            </w:pPr>
            <w:r>
              <w:rPr>
                <w:rFonts w:ascii="宋体" w:hAnsi="宋体" w:eastAsia="宋体"/>
                <w:b/>
                <w:sz w:val="21"/>
              </w:rPr>
              <w:t>③ 高铁客群套票渠道</w:t>
            </w:r>
          </w:p>
        </w:tc>
        <w:tc>
          <w:tcPr>
            <w:tcW w:type="dxa" w:w="1134"/>
          </w:tcPr>
          <w:p>
            <w:pPr>
              <w:spacing w:after="40"/>
            </w:pPr>
            <w:r>
              <w:rPr>
                <w:rFonts w:ascii="宋体" w:hAnsi="宋体" w:eastAsia="宋体"/>
                <w:b w:val="0"/>
                <w:sz w:val="21"/>
              </w:rPr>
              <w:t>+8%</w:t>
            </w:r>
          </w:p>
        </w:tc>
        <w:tc>
          <w:tcPr>
            <w:tcW w:type="dxa" w:w="5896"/>
          </w:tcPr>
          <w:p>
            <w:pPr>
              <w:spacing w:after="40"/>
            </w:pPr>
            <w:r>
              <w:rPr>
                <w:rFonts w:ascii="宋体" w:hAnsi="宋体" w:eastAsia="宋体"/>
                <w:b w:val="0"/>
                <w:sz w:val="21"/>
              </w:rPr>
              <w:t>高铁票根折扣引流（全市政策）+“2小时速览”产品上架12306/携程专区；与通化站合作行李寄存+接驳；旅行社渠道佣金制铺货，纳入长白山线路中途站</w:t>
            </w:r>
          </w:p>
        </w:tc>
      </w:tr>
      <w:tr>
        <w:tc>
          <w:tcPr>
            <w:tcW w:type="dxa" w:w="2041"/>
            <w:shd w:val="clear" w:fill="F2F6F3"/>
          </w:tcPr>
          <w:p>
            <w:pPr>
              <w:spacing w:after="40"/>
            </w:pPr>
            <w:r>
              <w:rPr>
                <w:rFonts w:ascii="宋体" w:hAnsi="宋体" w:eastAsia="宋体"/>
                <w:b/>
                <w:sz w:val="21"/>
              </w:rPr>
              <w:t>④ 研学团建+会员年卡</w:t>
            </w:r>
          </w:p>
        </w:tc>
        <w:tc>
          <w:tcPr>
            <w:tcW w:type="dxa" w:w="1134"/>
            <w:shd w:val="clear" w:fill="F2F6F3"/>
          </w:tcPr>
          <w:p>
            <w:pPr>
              <w:spacing w:after="40"/>
            </w:pPr>
            <w:r>
              <w:rPr>
                <w:rFonts w:ascii="宋体" w:hAnsi="宋体" w:eastAsia="宋体"/>
                <w:b w:val="0"/>
                <w:sz w:val="21"/>
              </w:rPr>
              <w:t>+7%</w:t>
            </w:r>
          </w:p>
        </w:tc>
        <w:tc>
          <w:tcPr>
            <w:tcW w:type="dxa" w:w="5896"/>
            <w:shd w:val="clear" w:fill="F2F6F3"/>
          </w:tcPr>
          <w:p>
            <w:pPr>
              <w:spacing w:after="40"/>
            </w:pPr>
            <w:r>
              <w:rPr>
                <w:rFonts w:ascii="宋体" w:hAnsi="宋体" w:eastAsia="宋体"/>
                <w:b w:val="0"/>
                <w:sz w:val="21"/>
              </w:rPr>
              <w:t>道文化/森林自然研学课程（对接教育局白名单）；企业团建营地包场；市民年卡（本地280万人口基本盘）+亲子季卡，预收现金流</w:t>
            </w:r>
          </w:p>
        </w:tc>
      </w:tr>
      <w:tr>
        <w:tc>
          <w:tcPr>
            <w:tcW w:type="dxa" w:w="2041"/>
          </w:tcPr>
          <w:p>
            <w:pPr>
              <w:spacing w:after="40"/>
            </w:pPr>
            <w:r>
              <w:rPr>
                <w:rFonts w:ascii="宋体" w:hAnsi="宋体" w:eastAsia="宋体"/>
                <w:b/>
                <w:sz w:val="21"/>
              </w:rPr>
              <w:t>⑤ 文创餐饮二销升级</w:t>
            </w:r>
          </w:p>
        </w:tc>
        <w:tc>
          <w:tcPr>
            <w:tcW w:type="dxa" w:w="1134"/>
          </w:tcPr>
          <w:p>
            <w:pPr>
              <w:spacing w:after="40"/>
            </w:pPr>
            <w:r>
              <w:rPr>
                <w:rFonts w:ascii="宋体" w:hAnsi="宋体" w:eastAsia="宋体"/>
                <w:b w:val="0"/>
                <w:sz w:val="21"/>
              </w:rPr>
              <w:t>+6%</w:t>
            </w:r>
          </w:p>
        </w:tc>
        <w:tc>
          <w:tcPr>
            <w:tcW w:type="dxa" w:w="5896"/>
          </w:tcPr>
          <w:p>
            <w:pPr>
              <w:spacing w:after="40"/>
            </w:pPr>
            <w:r>
              <w:rPr>
                <w:rFonts w:ascii="宋体" w:hAnsi="宋体" w:eastAsia="宋体"/>
                <w:b w:val="0"/>
                <w:sz w:val="21"/>
              </w:rPr>
              <w:t>祈福文创（玉皇阁IP）、人参/冰酒联名伴手礼；庭院茶咖+山顶咖啡（观景溢价定价）；自动售货点位加密，人均二销由低基数翻倍</w:t>
            </w:r>
          </w:p>
        </w:tc>
      </w:tr>
      <w:tr>
        <w:tc>
          <w:tcPr>
            <w:tcW w:type="dxa" w:w="2041"/>
            <w:shd w:val="clear" w:fill="F2F6F3"/>
          </w:tcPr>
          <w:p>
            <w:pPr>
              <w:spacing w:after="40"/>
            </w:pPr>
            <w:r>
              <w:rPr>
                <w:rFonts w:ascii="宋体" w:hAnsi="宋体" w:eastAsia="宋体"/>
                <w:b/>
                <w:sz w:val="21"/>
              </w:rPr>
              <w:t>⑥ 动态定价+智慧转化</w:t>
            </w:r>
          </w:p>
        </w:tc>
        <w:tc>
          <w:tcPr>
            <w:tcW w:type="dxa" w:w="1134"/>
            <w:shd w:val="clear" w:fill="F2F6F3"/>
          </w:tcPr>
          <w:p>
            <w:pPr>
              <w:spacing w:after="40"/>
            </w:pPr>
            <w:r>
              <w:rPr>
                <w:rFonts w:ascii="宋体" w:hAnsi="宋体" w:eastAsia="宋体"/>
                <w:b w:val="0"/>
                <w:sz w:val="21"/>
              </w:rPr>
              <w:t>+5%</w:t>
            </w:r>
          </w:p>
        </w:tc>
        <w:tc>
          <w:tcPr>
            <w:tcW w:type="dxa" w:w="5896"/>
            <w:shd w:val="clear" w:fill="F2F6F3"/>
          </w:tcPr>
          <w:p>
            <w:pPr>
              <w:spacing w:after="40"/>
            </w:pPr>
            <w:r>
              <w:rPr>
                <w:rFonts w:ascii="宋体" w:hAnsi="宋体" w:eastAsia="宋体"/>
                <w:b w:val="0"/>
                <w:sz w:val="21"/>
              </w:rPr>
              <w:t>旺季/周末/夜场浮动票价；小程序预售+满减券提升复购；套票组合（观景+游乐+夜游）提升客单价；数据驱动的精准营销降低获客成本</w:t>
            </w:r>
          </w:p>
        </w:tc>
      </w:tr>
    </w:tbl>
    <w:p>
      <w:pPr>
        <w:spacing w:after="40"/>
      </w:pPr>
    </w:p>
    <w:p>
      <w:pPr>
        <w:spacing w:after="120" w:line="336" w:lineRule="auto"/>
        <w:ind w:firstLine="480"/>
      </w:pPr>
      <w:r>
        <w:rPr>
          <w:rFonts w:ascii="宋体" w:hAnsi="宋体" w:eastAsia="宋体"/>
          <w:b w:val="0"/>
          <w:sz w:val="24"/>
        </w:rPr>
        <w:t>六条路径合计+50%。其中①②③为“增客流”（约+32%），④⑤⑥为“增客单与复购”（约+18%），结构均衡、不依赖单一变量；即使单条路径不及预期，仍有冗余空间。</w:t>
      </w:r>
    </w:p>
    <w:p>
      <w:pPr>
        <w:keepNext/>
        <w:spacing w:before="240" w:after="120"/>
      </w:pPr>
      <w:r>
        <w:rPr>
          <w:rFonts w:ascii="微软雅黑" w:hAnsi="微软雅黑" w:eastAsia="微软雅黑"/>
          <w:b/>
          <w:color w:val="333333"/>
          <w:sz w:val="27"/>
        </w:rPr>
        <w:t>8.3 示例测算表（参数可替换）</w:t>
      </w:r>
    </w:p>
    <w:p>
      <w:pPr>
        <w:spacing w:after="120" w:line="336" w:lineRule="auto"/>
        <w:ind w:firstLine="480"/>
      </w:pPr>
      <w:r>
        <w:rPr>
          <w:rFonts w:ascii="宋体" w:hAnsi="宋体" w:eastAsia="宋体"/>
          <w:b w:val="0"/>
          <w:sz w:val="24"/>
        </w:rPr>
        <w:t>以下以假设基准演示测算口径（请以工作表05/06实际数据替换“基准”列后复核）：</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608"/>
            <w:shd w:val="clear" w:fill="2E6E4E"/>
          </w:tcPr>
          <w:p>
            <w:pPr>
              <w:jc w:val="center"/>
            </w:pPr>
            <w:r>
              <w:rPr>
                <w:rFonts w:ascii="微软雅黑" w:hAnsi="微软雅黑" w:eastAsia="微软雅黑"/>
                <w:b/>
                <w:color w:val="FFFFFF"/>
                <w:sz w:val="21"/>
              </w:rPr>
              <w:t>经营项目</w:t>
            </w:r>
          </w:p>
        </w:tc>
        <w:tc>
          <w:tcPr>
            <w:tcW w:type="dxa" w:w="1814"/>
            <w:shd w:val="clear" w:fill="2E6E4E"/>
          </w:tcPr>
          <w:p>
            <w:pPr>
              <w:jc w:val="center"/>
            </w:pPr>
            <w:r>
              <w:rPr>
                <w:rFonts w:ascii="微软雅黑" w:hAnsi="微软雅黑" w:eastAsia="微软雅黑"/>
                <w:b/>
                <w:color w:val="FFFFFF"/>
                <w:sz w:val="21"/>
              </w:rPr>
              <w:t>基准年收入占比</w:t>
            </w:r>
          </w:p>
        </w:tc>
        <w:tc>
          <w:tcPr>
            <w:tcW w:type="dxa" w:w="2041"/>
            <w:shd w:val="clear" w:fill="2E6E4E"/>
          </w:tcPr>
          <w:p>
            <w:pPr>
              <w:jc w:val="center"/>
            </w:pPr>
            <w:r>
              <w:rPr>
                <w:rFonts w:ascii="微软雅黑" w:hAnsi="微软雅黑" w:eastAsia="微软雅黑"/>
                <w:b/>
                <w:color w:val="FFFFFF"/>
                <w:sz w:val="21"/>
              </w:rPr>
              <w:t>提升措施后收入指数</w:t>
            </w:r>
          </w:p>
        </w:tc>
        <w:tc>
          <w:tcPr>
            <w:tcW w:type="dxa" w:w="3742"/>
            <w:shd w:val="clear" w:fill="2E6E4E"/>
          </w:tcPr>
          <w:p>
            <w:pPr>
              <w:jc w:val="center"/>
            </w:pPr>
            <w:r>
              <w:rPr>
                <w:rFonts w:ascii="微软雅黑" w:hAnsi="微软雅黑" w:eastAsia="微软雅黑"/>
                <w:b/>
                <w:color w:val="FFFFFF"/>
                <w:sz w:val="21"/>
              </w:rPr>
              <w:t>主要增量来源</w:t>
            </w:r>
          </w:p>
        </w:tc>
      </w:tr>
      <w:tr>
        <w:tc>
          <w:tcPr>
            <w:tcW w:type="dxa" w:w="2608"/>
          </w:tcPr>
          <w:p>
            <w:pPr>
              <w:spacing w:after="40"/>
            </w:pPr>
            <w:r>
              <w:rPr>
                <w:rFonts w:ascii="宋体" w:hAnsi="宋体" w:eastAsia="宋体"/>
                <w:b/>
                <w:sz w:val="21"/>
              </w:rPr>
              <w:t>门票/观景（含架空观景）</w:t>
            </w:r>
          </w:p>
        </w:tc>
        <w:tc>
          <w:tcPr>
            <w:tcW w:type="dxa" w:w="1814"/>
          </w:tcPr>
          <w:p>
            <w:pPr>
              <w:spacing w:after="40"/>
            </w:pPr>
            <w:r>
              <w:rPr>
                <w:rFonts w:ascii="宋体" w:hAnsi="宋体" w:eastAsia="宋体"/>
                <w:b w:val="0"/>
                <w:sz w:val="21"/>
              </w:rPr>
              <w:t>35%</w:t>
            </w:r>
          </w:p>
        </w:tc>
        <w:tc>
          <w:tcPr>
            <w:tcW w:type="dxa" w:w="2041"/>
          </w:tcPr>
          <w:p>
            <w:pPr>
              <w:spacing w:after="40"/>
            </w:pPr>
            <w:r>
              <w:rPr>
                <w:rFonts w:ascii="宋体" w:hAnsi="宋体" w:eastAsia="宋体"/>
                <w:b w:val="0"/>
                <w:sz w:val="21"/>
              </w:rPr>
              <w:t>35%→46%</w:t>
            </w:r>
          </w:p>
        </w:tc>
        <w:tc>
          <w:tcPr>
            <w:tcW w:type="dxa" w:w="3742"/>
          </w:tcPr>
          <w:p>
            <w:pPr>
              <w:spacing w:after="40"/>
            </w:pPr>
            <w:r>
              <w:rPr>
                <w:rFonts w:ascii="宋体" w:hAnsi="宋体" w:eastAsia="宋体"/>
                <w:b w:val="0"/>
                <w:sz w:val="21"/>
              </w:rPr>
              <w:t>夜场票新增、动态定价、高铁客群导入</w:t>
            </w:r>
          </w:p>
        </w:tc>
      </w:tr>
      <w:tr>
        <w:tc>
          <w:tcPr>
            <w:tcW w:type="dxa" w:w="2608"/>
            <w:shd w:val="clear" w:fill="F2F6F3"/>
          </w:tcPr>
          <w:p>
            <w:pPr>
              <w:spacing w:after="40"/>
            </w:pPr>
            <w:r>
              <w:rPr>
                <w:rFonts w:ascii="宋体" w:hAnsi="宋体" w:eastAsia="宋体"/>
                <w:b/>
                <w:sz w:val="21"/>
              </w:rPr>
              <w:t>游乐项目（滑道/无动力等）</w:t>
            </w:r>
          </w:p>
        </w:tc>
        <w:tc>
          <w:tcPr>
            <w:tcW w:type="dxa" w:w="1814"/>
            <w:shd w:val="clear" w:fill="F2F6F3"/>
          </w:tcPr>
          <w:p>
            <w:pPr>
              <w:spacing w:after="40"/>
            </w:pPr>
            <w:r>
              <w:rPr>
                <w:rFonts w:ascii="宋体" w:hAnsi="宋体" w:eastAsia="宋体"/>
                <w:b w:val="0"/>
                <w:sz w:val="21"/>
              </w:rPr>
              <w:t>25%</w:t>
            </w:r>
          </w:p>
        </w:tc>
        <w:tc>
          <w:tcPr>
            <w:tcW w:type="dxa" w:w="2041"/>
            <w:shd w:val="clear" w:fill="F2F6F3"/>
          </w:tcPr>
          <w:p>
            <w:pPr>
              <w:spacing w:after="40"/>
            </w:pPr>
            <w:r>
              <w:rPr>
                <w:rFonts w:ascii="宋体" w:hAnsi="宋体" w:eastAsia="宋体"/>
                <w:b w:val="0"/>
                <w:sz w:val="21"/>
              </w:rPr>
              <w:t>25%→34%</w:t>
            </w:r>
          </w:p>
        </w:tc>
        <w:tc>
          <w:tcPr>
            <w:tcW w:type="dxa" w:w="3742"/>
            <w:shd w:val="clear" w:fill="F2F6F3"/>
          </w:tcPr>
          <w:p>
            <w:pPr>
              <w:spacing w:after="40"/>
            </w:pPr>
            <w:r>
              <w:rPr>
                <w:rFonts w:ascii="宋体" w:hAnsi="宋体" w:eastAsia="宋体"/>
                <w:b w:val="0"/>
                <w:sz w:val="21"/>
              </w:rPr>
              <w:t>冬季雪圈+四季化运营、套票捆绑</w:t>
            </w:r>
          </w:p>
        </w:tc>
      </w:tr>
      <w:tr>
        <w:tc>
          <w:tcPr>
            <w:tcW w:type="dxa" w:w="2608"/>
          </w:tcPr>
          <w:p>
            <w:pPr>
              <w:spacing w:after="40"/>
            </w:pPr>
            <w:r>
              <w:rPr>
                <w:rFonts w:ascii="宋体" w:hAnsi="宋体" w:eastAsia="宋体"/>
                <w:b/>
                <w:sz w:val="21"/>
              </w:rPr>
              <w:t>餐饮茶咖</w:t>
            </w:r>
          </w:p>
        </w:tc>
        <w:tc>
          <w:tcPr>
            <w:tcW w:type="dxa" w:w="1814"/>
          </w:tcPr>
          <w:p>
            <w:pPr>
              <w:spacing w:after="40"/>
            </w:pPr>
            <w:r>
              <w:rPr>
                <w:rFonts w:ascii="宋体" w:hAnsi="宋体" w:eastAsia="宋体"/>
                <w:b w:val="0"/>
                <w:sz w:val="21"/>
              </w:rPr>
              <w:t>15%</w:t>
            </w:r>
          </w:p>
        </w:tc>
        <w:tc>
          <w:tcPr>
            <w:tcW w:type="dxa" w:w="2041"/>
          </w:tcPr>
          <w:p>
            <w:pPr>
              <w:spacing w:after="40"/>
            </w:pPr>
            <w:r>
              <w:rPr>
                <w:rFonts w:ascii="宋体" w:hAnsi="宋体" w:eastAsia="宋体"/>
                <w:b w:val="0"/>
                <w:sz w:val="21"/>
              </w:rPr>
              <w:t>15%→23%</w:t>
            </w:r>
          </w:p>
        </w:tc>
        <w:tc>
          <w:tcPr>
            <w:tcW w:type="dxa" w:w="3742"/>
          </w:tcPr>
          <w:p>
            <w:pPr>
              <w:spacing w:after="40"/>
            </w:pPr>
            <w:r>
              <w:rPr>
                <w:rFonts w:ascii="宋体" w:hAnsi="宋体" w:eastAsia="宋体"/>
                <w:b w:val="0"/>
                <w:sz w:val="21"/>
              </w:rPr>
              <w:t>夜市延时经营、观景咖啡溢价</w:t>
            </w:r>
          </w:p>
        </w:tc>
      </w:tr>
      <w:tr>
        <w:tc>
          <w:tcPr>
            <w:tcW w:type="dxa" w:w="2608"/>
            <w:shd w:val="clear" w:fill="F2F6F3"/>
          </w:tcPr>
          <w:p>
            <w:pPr>
              <w:spacing w:after="40"/>
            </w:pPr>
            <w:r>
              <w:rPr>
                <w:rFonts w:ascii="宋体" w:hAnsi="宋体" w:eastAsia="宋体"/>
                <w:b/>
                <w:sz w:val="21"/>
              </w:rPr>
              <w:t>文创零售</w:t>
            </w:r>
          </w:p>
        </w:tc>
        <w:tc>
          <w:tcPr>
            <w:tcW w:type="dxa" w:w="1814"/>
            <w:shd w:val="clear" w:fill="F2F6F3"/>
          </w:tcPr>
          <w:p>
            <w:pPr>
              <w:spacing w:after="40"/>
            </w:pPr>
            <w:r>
              <w:rPr>
                <w:rFonts w:ascii="宋体" w:hAnsi="宋体" w:eastAsia="宋体"/>
                <w:b w:val="0"/>
                <w:sz w:val="21"/>
              </w:rPr>
              <w:t>8%</w:t>
            </w:r>
          </w:p>
        </w:tc>
        <w:tc>
          <w:tcPr>
            <w:tcW w:type="dxa" w:w="2041"/>
            <w:shd w:val="clear" w:fill="F2F6F3"/>
          </w:tcPr>
          <w:p>
            <w:pPr>
              <w:spacing w:after="40"/>
            </w:pPr>
            <w:r>
              <w:rPr>
                <w:rFonts w:ascii="宋体" w:hAnsi="宋体" w:eastAsia="宋体"/>
                <w:b w:val="0"/>
                <w:sz w:val="21"/>
              </w:rPr>
              <w:t>8%→14%</w:t>
            </w:r>
          </w:p>
        </w:tc>
        <w:tc>
          <w:tcPr>
            <w:tcW w:type="dxa" w:w="3742"/>
            <w:shd w:val="clear" w:fill="F2F6F3"/>
          </w:tcPr>
          <w:p>
            <w:pPr>
              <w:spacing w:after="40"/>
            </w:pPr>
            <w:r>
              <w:rPr>
                <w:rFonts w:ascii="宋体" w:hAnsi="宋体" w:eastAsia="宋体"/>
                <w:b w:val="0"/>
                <w:sz w:val="21"/>
              </w:rPr>
              <w:t>IP文创上新、高铁伴手礼快线</w:t>
            </w:r>
          </w:p>
        </w:tc>
      </w:tr>
      <w:tr>
        <w:tc>
          <w:tcPr>
            <w:tcW w:type="dxa" w:w="2608"/>
          </w:tcPr>
          <w:p>
            <w:pPr>
              <w:spacing w:after="40"/>
            </w:pPr>
            <w:r>
              <w:rPr>
                <w:rFonts w:ascii="宋体" w:hAnsi="宋体" w:eastAsia="宋体"/>
                <w:b/>
                <w:sz w:val="21"/>
              </w:rPr>
              <w:t>活动/研学/团建</w:t>
            </w:r>
          </w:p>
        </w:tc>
        <w:tc>
          <w:tcPr>
            <w:tcW w:type="dxa" w:w="1814"/>
          </w:tcPr>
          <w:p>
            <w:pPr>
              <w:spacing w:after="40"/>
            </w:pPr>
            <w:r>
              <w:rPr>
                <w:rFonts w:ascii="宋体" w:hAnsi="宋体" w:eastAsia="宋体"/>
                <w:b w:val="0"/>
                <w:sz w:val="21"/>
              </w:rPr>
              <w:t>10%</w:t>
            </w:r>
          </w:p>
        </w:tc>
        <w:tc>
          <w:tcPr>
            <w:tcW w:type="dxa" w:w="2041"/>
          </w:tcPr>
          <w:p>
            <w:pPr>
              <w:spacing w:after="40"/>
            </w:pPr>
            <w:r>
              <w:rPr>
                <w:rFonts w:ascii="宋体" w:hAnsi="宋体" w:eastAsia="宋体"/>
                <w:b w:val="0"/>
                <w:sz w:val="21"/>
              </w:rPr>
              <w:t>10%→20%</w:t>
            </w:r>
          </w:p>
        </w:tc>
        <w:tc>
          <w:tcPr>
            <w:tcW w:type="dxa" w:w="3742"/>
          </w:tcPr>
          <w:p>
            <w:pPr>
              <w:spacing w:after="40"/>
            </w:pPr>
            <w:r>
              <w:rPr>
                <w:rFonts w:ascii="宋体" w:hAnsi="宋体" w:eastAsia="宋体"/>
                <w:b w:val="0"/>
                <w:sz w:val="21"/>
              </w:rPr>
              <w:t>庙会售票化、研学课程、包场业务</w:t>
            </w:r>
          </w:p>
        </w:tc>
      </w:tr>
      <w:tr>
        <w:tc>
          <w:tcPr>
            <w:tcW w:type="dxa" w:w="2608"/>
            <w:shd w:val="clear" w:fill="F2F6F3"/>
          </w:tcPr>
          <w:p>
            <w:pPr>
              <w:spacing w:after="40"/>
            </w:pPr>
            <w:r>
              <w:rPr>
                <w:rFonts w:ascii="宋体" w:hAnsi="宋体" w:eastAsia="宋体"/>
                <w:b/>
                <w:sz w:val="21"/>
              </w:rPr>
              <w:t>其他（租赁/广告/停车）</w:t>
            </w:r>
          </w:p>
        </w:tc>
        <w:tc>
          <w:tcPr>
            <w:tcW w:type="dxa" w:w="1814"/>
            <w:shd w:val="clear" w:fill="F2F6F3"/>
          </w:tcPr>
          <w:p>
            <w:pPr>
              <w:spacing w:after="40"/>
            </w:pPr>
            <w:r>
              <w:rPr>
                <w:rFonts w:ascii="宋体" w:hAnsi="宋体" w:eastAsia="宋体"/>
                <w:b w:val="0"/>
                <w:sz w:val="21"/>
              </w:rPr>
              <w:t>7%</w:t>
            </w:r>
          </w:p>
        </w:tc>
        <w:tc>
          <w:tcPr>
            <w:tcW w:type="dxa" w:w="2041"/>
            <w:shd w:val="clear" w:fill="F2F6F3"/>
          </w:tcPr>
          <w:p>
            <w:pPr>
              <w:spacing w:after="40"/>
            </w:pPr>
            <w:r>
              <w:rPr>
                <w:rFonts w:ascii="宋体" w:hAnsi="宋体" w:eastAsia="宋体"/>
                <w:b w:val="0"/>
                <w:sz w:val="21"/>
              </w:rPr>
              <w:t>7%→13%</w:t>
            </w:r>
          </w:p>
        </w:tc>
        <w:tc>
          <w:tcPr>
            <w:tcW w:type="dxa" w:w="3742"/>
            <w:shd w:val="clear" w:fill="F2F6F3"/>
          </w:tcPr>
          <w:p>
            <w:pPr>
              <w:spacing w:after="40"/>
            </w:pPr>
            <w:r>
              <w:rPr>
                <w:rFonts w:ascii="宋体" w:hAnsi="宋体" w:eastAsia="宋体"/>
                <w:b w:val="0"/>
                <w:sz w:val="21"/>
              </w:rPr>
              <w:t>摊位租金、品牌冠名、车位周转</w:t>
            </w:r>
          </w:p>
        </w:tc>
      </w:tr>
      <w:tr>
        <w:tc>
          <w:tcPr>
            <w:tcW w:type="dxa" w:w="2608"/>
          </w:tcPr>
          <w:p>
            <w:pPr>
              <w:spacing w:after="40"/>
            </w:pPr>
            <w:r>
              <w:rPr>
                <w:rFonts w:ascii="宋体" w:hAnsi="宋体" w:eastAsia="宋体"/>
                <w:b/>
                <w:sz w:val="21"/>
              </w:rPr>
              <w:t>合计</w:t>
            </w:r>
          </w:p>
        </w:tc>
        <w:tc>
          <w:tcPr>
            <w:tcW w:type="dxa" w:w="1814"/>
          </w:tcPr>
          <w:p>
            <w:pPr>
              <w:spacing w:after="40"/>
            </w:pPr>
            <w:r>
              <w:rPr>
                <w:rFonts w:ascii="宋体" w:hAnsi="宋体" w:eastAsia="宋体"/>
                <w:b w:val="0"/>
                <w:sz w:val="21"/>
              </w:rPr>
              <w:t>100%</w:t>
            </w:r>
          </w:p>
        </w:tc>
        <w:tc>
          <w:tcPr>
            <w:tcW w:type="dxa" w:w="2041"/>
          </w:tcPr>
          <w:p>
            <w:pPr>
              <w:spacing w:after="40"/>
            </w:pPr>
            <w:r>
              <w:rPr>
                <w:rFonts w:ascii="宋体" w:hAnsi="宋体" w:eastAsia="宋体"/>
                <w:b w:val="0"/>
                <w:sz w:val="21"/>
              </w:rPr>
              <w:t>150%</w:t>
            </w:r>
          </w:p>
        </w:tc>
        <w:tc>
          <w:tcPr>
            <w:tcW w:type="dxa" w:w="3742"/>
          </w:tcPr>
          <w:p>
            <w:pPr>
              <w:spacing w:after="40"/>
            </w:pPr>
            <w:r>
              <w:rPr>
                <w:rFonts w:ascii="宋体" w:hAnsi="宋体" w:eastAsia="宋体"/>
                <w:b w:val="0"/>
                <w:sz w:val="21"/>
              </w:rPr>
              <w:t>整体提升50%</w:t>
            </w:r>
          </w:p>
        </w:tc>
      </w:tr>
    </w:tbl>
    <w:p>
      <w:pPr>
        <w:spacing w:after="40"/>
      </w:pPr>
    </w:p>
    <w:p>
      <w:pPr>
        <w:keepNext/>
        <w:spacing w:before="240" w:after="120"/>
      </w:pPr>
      <w:r>
        <w:rPr>
          <w:rFonts w:ascii="微软雅黑" w:hAnsi="微软雅黑" w:eastAsia="微软雅黑"/>
          <w:b/>
          <w:color w:val="333333"/>
          <w:sz w:val="27"/>
        </w:rPr>
        <w:t>8.4 各经营项目成本分析</w:t>
      </w:r>
    </w:p>
    <w:p>
      <w:pPr>
        <w:jc w:val="center"/>
      </w:pPr>
      <w:r>
        <w:drawing>
          <wp:inline xmlns:a="http://schemas.openxmlformats.org/drawingml/2006/main" xmlns:pic="http://schemas.openxmlformats.org/drawingml/2006/picture">
            <wp:extent cx="5580000" cy="2721474"/>
            <wp:docPr id="9" name="Picture 9"/>
            <wp:cNvGraphicFramePr>
              <a:graphicFrameLocks noChangeAspect="1"/>
            </wp:cNvGraphicFramePr>
            <a:graphic>
              <a:graphicData uri="http://schemas.openxmlformats.org/drawingml/2006/picture">
                <pic:pic>
                  <pic:nvPicPr>
                    <pic:cNvPr id="0" name="09_cost_structure.png"/>
                    <pic:cNvPicPr/>
                  </pic:nvPicPr>
                  <pic:blipFill>
                    <a:blip r:embed="rId17"/>
                    <a:stretch>
                      <a:fillRect/>
                    </a:stretch>
                  </pic:blipFill>
                  <pic:spPr>
                    <a:xfrm>
                      <a:off x="0" y="0"/>
                      <a:ext cx="5580000" cy="2721474"/>
                    </a:xfrm>
                    <a:prstGeom prst="rect"/>
                  </pic:spPr>
                </pic:pic>
              </a:graphicData>
            </a:graphic>
          </wp:inline>
        </w:drawing>
      </w:r>
    </w:p>
    <w:p>
      <w:pPr>
        <w:spacing w:after="200"/>
        <w:jc w:val="center"/>
      </w:pPr>
      <w:r>
        <w:rPr>
          <w:rFonts w:ascii="微软雅黑" w:hAnsi="微软雅黑" w:eastAsia="微软雅黑"/>
          <w:b/>
          <w:color w:val="8A8F98"/>
          <w:sz w:val="20"/>
        </w:rPr>
        <w:t>图8-2 各经营项目成本结构与毛利率测算（占营收比，行业参数估算）</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2E6E4E"/>
          </w:tcPr>
          <w:p>
            <w:pPr>
              <w:jc w:val="center"/>
            </w:pPr>
            <w:r>
              <w:rPr>
                <w:rFonts w:ascii="微软雅黑" w:hAnsi="微软雅黑" w:eastAsia="微软雅黑"/>
                <w:b/>
                <w:color w:val="FFFFFF"/>
                <w:sz w:val="19"/>
              </w:rPr>
              <w:t>经营项目</w:t>
            </w:r>
          </w:p>
        </w:tc>
        <w:tc>
          <w:tcPr>
            <w:tcW w:type="dxa" w:w="1361"/>
            <w:shd w:val="clear" w:fill="2E6E4E"/>
          </w:tcPr>
          <w:p>
            <w:pPr>
              <w:jc w:val="center"/>
            </w:pPr>
            <w:r>
              <w:rPr>
                <w:rFonts w:ascii="微软雅黑" w:hAnsi="微软雅黑" w:eastAsia="微软雅黑"/>
                <w:b/>
                <w:color w:val="FFFFFF"/>
                <w:sz w:val="19"/>
              </w:rPr>
              <w:t>毛利率估算</w:t>
            </w:r>
          </w:p>
        </w:tc>
        <w:tc>
          <w:tcPr>
            <w:tcW w:type="dxa" w:w="3288"/>
            <w:shd w:val="clear" w:fill="2E6E4E"/>
          </w:tcPr>
          <w:p>
            <w:pPr>
              <w:jc w:val="center"/>
            </w:pPr>
            <w:r>
              <w:rPr>
                <w:rFonts w:ascii="微软雅黑" w:hAnsi="微软雅黑" w:eastAsia="微软雅黑"/>
                <w:b/>
                <w:color w:val="FFFFFF"/>
                <w:sz w:val="19"/>
              </w:rPr>
              <w:t>成本构成要点</w:t>
            </w:r>
          </w:p>
        </w:tc>
        <w:tc>
          <w:tcPr>
            <w:tcW w:type="dxa" w:w="3515"/>
            <w:shd w:val="clear" w:fill="2E6E4E"/>
          </w:tcPr>
          <w:p>
            <w:pPr>
              <w:jc w:val="center"/>
            </w:pPr>
            <w:r>
              <w:rPr>
                <w:rFonts w:ascii="微软雅黑" w:hAnsi="微软雅黑" w:eastAsia="微软雅黑"/>
                <w:b/>
                <w:color w:val="FFFFFF"/>
                <w:sz w:val="19"/>
              </w:rPr>
              <w:t>成本管控建议</w:t>
            </w:r>
          </w:p>
        </w:tc>
      </w:tr>
      <w:tr>
        <w:tc>
          <w:tcPr>
            <w:tcW w:type="dxa" w:w="2268"/>
          </w:tcPr>
          <w:p>
            <w:pPr>
              <w:spacing w:after="40"/>
            </w:pPr>
            <w:r>
              <w:rPr>
                <w:rFonts w:ascii="宋体" w:hAnsi="宋体" w:eastAsia="宋体"/>
                <w:b/>
                <w:sz w:val="19"/>
              </w:rPr>
              <w:t>架空观景（桁架栈道/观景塔）</w:t>
            </w:r>
          </w:p>
        </w:tc>
        <w:tc>
          <w:tcPr>
            <w:tcW w:type="dxa" w:w="1361"/>
          </w:tcPr>
          <w:p>
            <w:pPr>
              <w:spacing w:after="40"/>
            </w:pPr>
            <w:r>
              <w:rPr>
                <w:rFonts w:ascii="宋体" w:hAnsi="宋体" w:eastAsia="宋体"/>
                <w:b w:val="0"/>
                <w:sz w:val="19"/>
              </w:rPr>
              <w:t>约60%</w:t>
            </w:r>
          </w:p>
        </w:tc>
        <w:tc>
          <w:tcPr>
            <w:tcW w:type="dxa" w:w="3288"/>
          </w:tcPr>
          <w:p>
            <w:pPr>
              <w:spacing w:after="40"/>
            </w:pPr>
            <w:r>
              <w:rPr>
                <w:rFonts w:ascii="宋体" w:hAnsi="宋体" w:eastAsia="宋体"/>
                <w:b w:val="0"/>
                <w:sz w:val="19"/>
              </w:rPr>
              <w:t>一次性桁架投入大（计入折旧），运营期人工+保险+年检维护为主，物料成本几乎为零</w:t>
            </w:r>
          </w:p>
        </w:tc>
        <w:tc>
          <w:tcPr>
            <w:tcW w:type="dxa" w:w="3515"/>
          </w:tcPr>
          <w:p>
            <w:pPr>
              <w:spacing w:after="40"/>
            </w:pPr>
            <w:r>
              <w:rPr>
                <w:rFonts w:ascii="宋体" w:hAnsi="宋体" w:eastAsia="宋体"/>
                <w:b w:val="0"/>
                <w:sz w:val="19"/>
              </w:rPr>
              <w:t>错峰排班；与夜游共用安保照明系统；结构年检纳入年度框架合同</w:t>
            </w:r>
          </w:p>
        </w:tc>
      </w:tr>
      <w:tr>
        <w:tc>
          <w:tcPr>
            <w:tcW w:type="dxa" w:w="2268"/>
            <w:shd w:val="clear" w:fill="F2F6F3"/>
          </w:tcPr>
          <w:p>
            <w:pPr>
              <w:spacing w:after="40"/>
            </w:pPr>
            <w:r>
              <w:rPr>
                <w:rFonts w:ascii="宋体" w:hAnsi="宋体" w:eastAsia="宋体"/>
                <w:b/>
                <w:sz w:val="19"/>
              </w:rPr>
              <w:t>山地游乐（滑道/无动力）</w:t>
            </w:r>
          </w:p>
        </w:tc>
        <w:tc>
          <w:tcPr>
            <w:tcW w:type="dxa" w:w="1361"/>
            <w:shd w:val="clear" w:fill="F2F6F3"/>
          </w:tcPr>
          <w:p>
            <w:pPr>
              <w:spacing w:after="40"/>
            </w:pPr>
            <w:r>
              <w:rPr>
                <w:rFonts w:ascii="宋体" w:hAnsi="宋体" w:eastAsia="宋体"/>
                <w:b w:val="0"/>
                <w:sz w:val="19"/>
              </w:rPr>
              <w:t>约55%</w:t>
            </w:r>
          </w:p>
        </w:tc>
        <w:tc>
          <w:tcPr>
            <w:tcW w:type="dxa" w:w="3288"/>
            <w:shd w:val="clear" w:fill="F2F6F3"/>
          </w:tcPr>
          <w:p>
            <w:pPr>
              <w:spacing w:after="40"/>
            </w:pPr>
            <w:r>
              <w:rPr>
                <w:rFonts w:ascii="宋体" w:hAnsi="宋体" w:eastAsia="宋体"/>
                <w:b w:val="0"/>
                <w:sz w:val="19"/>
              </w:rPr>
              <w:t>设备折旧/租赁+安全员人工+保险，能耗低</w:t>
            </w:r>
          </w:p>
        </w:tc>
        <w:tc>
          <w:tcPr>
            <w:tcW w:type="dxa" w:w="3515"/>
            <w:shd w:val="clear" w:fill="F2F6F3"/>
          </w:tcPr>
          <w:p>
            <w:pPr>
              <w:spacing w:after="40"/>
            </w:pPr>
            <w:r>
              <w:rPr>
                <w:rFonts w:ascii="宋体" w:hAnsi="宋体" w:eastAsia="宋体"/>
                <w:b w:val="0"/>
                <w:sz w:val="19"/>
              </w:rPr>
              <w:t>无动力设施优先（免能耗）；旺季临时用工+淡季设备保养内部化</w:t>
            </w:r>
          </w:p>
        </w:tc>
      </w:tr>
      <w:tr>
        <w:tc>
          <w:tcPr>
            <w:tcW w:type="dxa" w:w="2268"/>
          </w:tcPr>
          <w:p>
            <w:pPr>
              <w:spacing w:after="40"/>
            </w:pPr>
            <w:r>
              <w:rPr>
                <w:rFonts w:ascii="宋体" w:hAnsi="宋体" w:eastAsia="宋体"/>
                <w:b/>
                <w:sz w:val="19"/>
              </w:rPr>
              <w:t>冬季戏雪/冰灯夜游</w:t>
            </w:r>
          </w:p>
        </w:tc>
        <w:tc>
          <w:tcPr>
            <w:tcW w:type="dxa" w:w="1361"/>
          </w:tcPr>
          <w:p>
            <w:pPr>
              <w:spacing w:after="40"/>
            </w:pPr>
            <w:r>
              <w:rPr>
                <w:rFonts w:ascii="宋体" w:hAnsi="宋体" w:eastAsia="宋体"/>
                <w:b w:val="0"/>
                <w:sz w:val="19"/>
              </w:rPr>
              <w:t>约44%</w:t>
            </w:r>
          </w:p>
        </w:tc>
        <w:tc>
          <w:tcPr>
            <w:tcW w:type="dxa" w:w="3288"/>
          </w:tcPr>
          <w:p>
            <w:pPr>
              <w:spacing w:after="40"/>
            </w:pPr>
            <w:r>
              <w:rPr>
                <w:rFonts w:ascii="宋体" w:hAnsi="宋体" w:eastAsia="宋体"/>
                <w:b w:val="0"/>
                <w:sz w:val="19"/>
              </w:rPr>
              <w:t>造雪制冰能耗高、季节性人工集中、冰灯制作物料一次性</w:t>
            </w:r>
          </w:p>
        </w:tc>
        <w:tc>
          <w:tcPr>
            <w:tcW w:type="dxa" w:w="3515"/>
          </w:tcPr>
          <w:p>
            <w:pPr>
              <w:spacing w:after="40"/>
            </w:pPr>
            <w:r>
              <w:rPr>
                <w:rFonts w:ascii="宋体" w:hAnsi="宋体" w:eastAsia="宋体"/>
                <w:b w:val="0"/>
                <w:sz w:val="19"/>
              </w:rPr>
              <w:t>与万峰共享造雪经验/团购能源；冰灯模块化复用；雪季结束设备封存</w:t>
            </w:r>
          </w:p>
        </w:tc>
      </w:tr>
      <w:tr>
        <w:tc>
          <w:tcPr>
            <w:tcW w:type="dxa" w:w="2268"/>
            <w:shd w:val="clear" w:fill="F2F6F3"/>
          </w:tcPr>
          <w:p>
            <w:pPr>
              <w:spacing w:after="40"/>
            </w:pPr>
            <w:r>
              <w:rPr>
                <w:rFonts w:ascii="宋体" w:hAnsi="宋体" w:eastAsia="宋体"/>
                <w:b/>
                <w:sz w:val="19"/>
              </w:rPr>
              <w:t>夜游光影秀</w:t>
            </w:r>
          </w:p>
        </w:tc>
        <w:tc>
          <w:tcPr>
            <w:tcW w:type="dxa" w:w="1361"/>
            <w:shd w:val="clear" w:fill="F2F6F3"/>
          </w:tcPr>
          <w:p>
            <w:pPr>
              <w:spacing w:after="40"/>
            </w:pPr>
            <w:r>
              <w:rPr>
                <w:rFonts w:ascii="宋体" w:hAnsi="宋体" w:eastAsia="宋体"/>
                <w:b w:val="0"/>
                <w:sz w:val="19"/>
              </w:rPr>
              <w:t>约49%</w:t>
            </w:r>
          </w:p>
        </w:tc>
        <w:tc>
          <w:tcPr>
            <w:tcW w:type="dxa" w:w="3288"/>
            <w:shd w:val="clear" w:fill="F2F6F3"/>
          </w:tcPr>
          <w:p>
            <w:pPr>
              <w:spacing w:after="40"/>
            </w:pPr>
            <w:r>
              <w:rPr>
                <w:rFonts w:ascii="宋体" w:hAnsi="宋体" w:eastAsia="宋体"/>
                <w:b w:val="0"/>
                <w:sz w:val="19"/>
              </w:rPr>
              <w:t>灯光设备折旧+电费为大头，内容制作摊销</w:t>
            </w:r>
          </w:p>
        </w:tc>
        <w:tc>
          <w:tcPr>
            <w:tcW w:type="dxa" w:w="3515"/>
            <w:shd w:val="clear" w:fill="F2F6F3"/>
          </w:tcPr>
          <w:p>
            <w:pPr>
              <w:spacing w:after="40"/>
            </w:pPr>
            <w:r>
              <w:rPr>
                <w:rFonts w:ascii="宋体" w:hAnsi="宋体" w:eastAsia="宋体"/>
                <w:b w:val="0"/>
                <w:sz w:val="19"/>
              </w:rPr>
              <w:t>全LED低能耗+分时分区亮灯；内容一次制作三年摊销、每年局部上新</w:t>
            </w:r>
          </w:p>
        </w:tc>
      </w:tr>
      <w:tr>
        <w:tc>
          <w:tcPr>
            <w:tcW w:type="dxa" w:w="2268"/>
          </w:tcPr>
          <w:p>
            <w:pPr>
              <w:spacing w:after="40"/>
            </w:pPr>
            <w:r>
              <w:rPr>
                <w:rFonts w:ascii="宋体" w:hAnsi="宋体" w:eastAsia="宋体"/>
                <w:b/>
                <w:sz w:val="19"/>
              </w:rPr>
              <w:t>餐饮茶咖</w:t>
            </w:r>
          </w:p>
        </w:tc>
        <w:tc>
          <w:tcPr>
            <w:tcW w:type="dxa" w:w="1361"/>
          </w:tcPr>
          <w:p>
            <w:pPr>
              <w:spacing w:after="40"/>
            </w:pPr>
            <w:r>
              <w:rPr>
                <w:rFonts w:ascii="宋体" w:hAnsi="宋体" w:eastAsia="宋体"/>
                <w:b w:val="0"/>
                <w:sz w:val="19"/>
              </w:rPr>
              <w:t>约22%</w:t>
            </w:r>
          </w:p>
        </w:tc>
        <w:tc>
          <w:tcPr>
            <w:tcW w:type="dxa" w:w="3288"/>
          </w:tcPr>
          <w:p>
            <w:pPr>
              <w:spacing w:after="40"/>
            </w:pPr>
            <w:r>
              <w:rPr>
                <w:rFonts w:ascii="宋体" w:hAnsi="宋体" w:eastAsia="宋体"/>
                <w:b w:val="0"/>
                <w:sz w:val="19"/>
              </w:rPr>
              <w:t>食材进货约32%+人工28%，损耗敏感</w:t>
            </w:r>
          </w:p>
        </w:tc>
        <w:tc>
          <w:tcPr>
            <w:tcW w:type="dxa" w:w="3515"/>
          </w:tcPr>
          <w:p>
            <w:pPr>
              <w:spacing w:after="40"/>
            </w:pPr>
            <w:r>
              <w:rPr>
                <w:rFonts w:ascii="宋体" w:hAnsi="宋体" w:eastAsia="宋体"/>
                <w:b w:val="0"/>
                <w:sz w:val="19"/>
              </w:rPr>
              <w:t>中央备餐+小前台；菜单精简聚焦高毛利茶咖甜品；联营扣点模式降低自营风险</w:t>
            </w:r>
          </w:p>
        </w:tc>
      </w:tr>
      <w:tr>
        <w:tc>
          <w:tcPr>
            <w:tcW w:type="dxa" w:w="2268"/>
            <w:shd w:val="clear" w:fill="F2F6F3"/>
          </w:tcPr>
          <w:p>
            <w:pPr>
              <w:spacing w:after="40"/>
            </w:pPr>
            <w:r>
              <w:rPr>
                <w:rFonts w:ascii="宋体" w:hAnsi="宋体" w:eastAsia="宋体"/>
                <w:b/>
                <w:sz w:val="19"/>
              </w:rPr>
              <w:t>文创零售</w:t>
            </w:r>
          </w:p>
        </w:tc>
        <w:tc>
          <w:tcPr>
            <w:tcW w:type="dxa" w:w="1361"/>
            <w:shd w:val="clear" w:fill="F2F6F3"/>
          </w:tcPr>
          <w:p>
            <w:pPr>
              <w:spacing w:after="40"/>
            </w:pPr>
            <w:r>
              <w:rPr>
                <w:rFonts w:ascii="宋体" w:hAnsi="宋体" w:eastAsia="宋体"/>
                <w:b w:val="0"/>
                <w:sz w:val="19"/>
              </w:rPr>
              <w:t>约34%</w:t>
            </w:r>
          </w:p>
        </w:tc>
        <w:tc>
          <w:tcPr>
            <w:tcW w:type="dxa" w:w="3288"/>
            <w:shd w:val="clear" w:fill="F2F6F3"/>
          </w:tcPr>
          <w:p>
            <w:pPr>
              <w:spacing w:after="40"/>
            </w:pPr>
            <w:r>
              <w:rPr>
                <w:rFonts w:ascii="宋体" w:hAnsi="宋体" w:eastAsia="宋体"/>
                <w:b w:val="0"/>
                <w:sz w:val="19"/>
              </w:rPr>
              <w:t>进货成本约45%为主</w:t>
            </w:r>
          </w:p>
        </w:tc>
        <w:tc>
          <w:tcPr>
            <w:tcW w:type="dxa" w:w="3515"/>
            <w:shd w:val="clear" w:fill="F2F6F3"/>
          </w:tcPr>
          <w:p>
            <w:pPr>
              <w:spacing w:after="40"/>
            </w:pPr>
            <w:r>
              <w:rPr>
                <w:rFonts w:ascii="宋体" w:hAnsi="宋体" w:eastAsia="宋体"/>
                <w:b w:val="0"/>
                <w:sz w:val="19"/>
              </w:rPr>
              <w:t>以销定产、小批量快反；高毛利自有IP品逐步替代通货</w:t>
            </w:r>
          </w:p>
        </w:tc>
      </w:tr>
      <w:tr>
        <w:tc>
          <w:tcPr>
            <w:tcW w:type="dxa" w:w="2268"/>
          </w:tcPr>
          <w:p>
            <w:pPr>
              <w:spacing w:after="40"/>
            </w:pPr>
            <w:r>
              <w:rPr>
                <w:rFonts w:ascii="宋体" w:hAnsi="宋体" w:eastAsia="宋体"/>
                <w:b/>
                <w:sz w:val="19"/>
              </w:rPr>
              <w:t>研学团建/营地</w:t>
            </w:r>
          </w:p>
        </w:tc>
        <w:tc>
          <w:tcPr>
            <w:tcW w:type="dxa" w:w="1361"/>
          </w:tcPr>
          <w:p>
            <w:pPr>
              <w:spacing w:after="40"/>
            </w:pPr>
            <w:r>
              <w:rPr>
                <w:rFonts w:ascii="宋体" w:hAnsi="宋体" w:eastAsia="宋体"/>
                <w:b w:val="0"/>
                <w:sz w:val="19"/>
              </w:rPr>
              <w:t>约45%</w:t>
            </w:r>
          </w:p>
        </w:tc>
        <w:tc>
          <w:tcPr>
            <w:tcW w:type="dxa" w:w="3288"/>
          </w:tcPr>
          <w:p>
            <w:pPr>
              <w:spacing w:after="40"/>
            </w:pPr>
            <w:r>
              <w:rPr>
                <w:rFonts w:ascii="宋体" w:hAnsi="宋体" w:eastAsia="宋体"/>
                <w:b w:val="0"/>
                <w:sz w:val="19"/>
              </w:rPr>
              <w:t>课程导师人工+物料，场地成本低（自有）</w:t>
            </w:r>
          </w:p>
        </w:tc>
        <w:tc>
          <w:tcPr>
            <w:tcW w:type="dxa" w:w="3515"/>
          </w:tcPr>
          <w:p>
            <w:pPr>
              <w:spacing w:after="40"/>
            </w:pPr>
            <w:r>
              <w:rPr>
                <w:rFonts w:ascii="宋体" w:hAnsi="宋体" w:eastAsia="宋体"/>
                <w:b w:val="0"/>
                <w:sz w:val="19"/>
              </w:rPr>
              <w:t>课程标准化+兼职导师库；B端预收款锁定排期</w:t>
            </w:r>
          </w:p>
        </w:tc>
      </w:tr>
      <w:tr>
        <w:tc>
          <w:tcPr>
            <w:tcW w:type="dxa" w:w="2268"/>
            <w:shd w:val="clear" w:fill="F2F6F3"/>
          </w:tcPr>
          <w:p>
            <w:pPr>
              <w:spacing w:after="40"/>
            </w:pPr>
            <w:r>
              <w:rPr>
                <w:rFonts w:ascii="宋体" w:hAnsi="宋体" w:eastAsia="宋体"/>
                <w:b/>
                <w:sz w:val="19"/>
              </w:rPr>
              <w:t>演艺庙会/活动</w:t>
            </w:r>
          </w:p>
        </w:tc>
        <w:tc>
          <w:tcPr>
            <w:tcW w:type="dxa" w:w="1361"/>
            <w:shd w:val="clear" w:fill="F2F6F3"/>
          </w:tcPr>
          <w:p>
            <w:pPr>
              <w:spacing w:after="40"/>
            </w:pPr>
            <w:r>
              <w:rPr>
                <w:rFonts w:ascii="宋体" w:hAnsi="宋体" w:eastAsia="宋体"/>
                <w:b w:val="0"/>
                <w:sz w:val="19"/>
              </w:rPr>
              <w:t>约35%</w:t>
            </w:r>
          </w:p>
        </w:tc>
        <w:tc>
          <w:tcPr>
            <w:tcW w:type="dxa" w:w="3288"/>
            <w:shd w:val="clear" w:fill="F2F6F3"/>
          </w:tcPr>
          <w:p>
            <w:pPr>
              <w:spacing w:after="40"/>
            </w:pPr>
            <w:r>
              <w:rPr>
                <w:rFonts w:ascii="宋体" w:hAnsi="宋体" w:eastAsia="宋体"/>
                <w:b w:val="0"/>
                <w:sz w:val="19"/>
              </w:rPr>
              <w:t>演职人员+舞美租赁+宣传投入</w:t>
            </w:r>
          </w:p>
        </w:tc>
        <w:tc>
          <w:tcPr>
            <w:tcW w:type="dxa" w:w="3515"/>
            <w:shd w:val="clear" w:fill="F2F6F3"/>
          </w:tcPr>
          <w:p>
            <w:pPr>
              <w:spacing w:after="40"/>
            </w:pPr>
            <w:r>
              <w:rPr>
                <w:rFonts w:ascii="宋体" w:hAnsi="宋体" w:eastAsia="宋体"/>
                <w:b w:val="0"/>
                <w:sz w:val="19"/>
              </w:rPr>
              <w:t>与本地院团合作分成制；商业赞助冠名对冲成本</w:t>
            </w:r>
          </w:p>
        </w:tc>
      </w:tr>
    </w:tbl>
    <w:p>
      <w:pPr>
        <w:spacing w:after="40"/>
      </w:pPr>
    </w:p>
    <w:p>
      <w:pPr>
        <w:spacing w:after="120" w:line="336" w:lineRule="auto"/>
        <w:ind w:firstLine="480"/>
      </w:pPr>
      <w:r>
        <w:rPr>
          <w:rFonts w:ascii="宋体" w:hAnsi="宋体" w:eastAsia="宋体"/>
          <w:b w:val="0"/>
          <w:sz w:val="24"/>
        </w:rPr>
        <w:t>整体判断：项目组合加权毛利率约45%—50%，属健康区间。高毛利的观景、游乐、夜游为利润主体，餐饮零售以引流与提升停留为主要功能，活动演艺承担品牌与传播职能——三层结构各司其职。</w:t>
      </w:r>
    </w:p>
    <w:p>
      <w:pPr>
        <w:spacing w:before="360" w:after="200"/>
        <w:keepNext/>
        <w:pBdr>
          <w:bottom w:val="single" w:sz="12" w:space="4" w:color="2E6E4E"/>
        </w:pBdr>
      </w:pPr>
      <w:r>
        <w:rPr>
          <w:rFonts w:ascii="微软雅黑" w:hAnsi="微软雅黑" w:eastAsia="微软雅黑"/>
          <w:b/>
          <w:color w:val="2E6E4E"/>
          <w:sz w:val="32"/>
        </w:rPr>
        <w:t>九　智慧运营与智慧管理：小程序模块架构</w:t>
      </w:r>
    </w:p>
    <w:p>
      <w:pPr>
        <w:spacing w:after="120" w:line="336" w:lineRule="auto"/>
        <w:ind w:firstLine="480"/>
      </w:pPr>
      <w:r>
        <w:rPr>
          <w:rFonts w:ascii="宋体" w:hAnsi="宋体" w:eastAsia="宋体"/>
          <w:b w:val="0"/>
          <w:sz w:val="24"/>
        </w:rPr>
        <w:t>建议以微信小程序为核心载体（低获客门槛、强社交裂变），一端两面：游客端（智慧运营）+管理端（智慧管理），共用一套数据中台。</w:t>
      </w:r>
    </w:p>
    <w:p>
      <w:pPr>
        <w:keepNext/>
        <w:spacing w:before="240" w:after="120"/>
      </w:pPr>
      <w:r>
        <w:rPr>
          <w:rFonts w:ascii="微软雅黑" w:hAnsi="微软雅黑" w:eastAsia="微软雅黑"/>
          <w:b/>
          <w:color w:val="333333"/>
          <w:sz w:val="27"/>
        </w:rPr>
        <w:t>9.1 游客端（智慧运营）八大模块</w:t>
      </w:r>
    </w:p>
    <w:tbl>
      <w:tblPr>
        <w:tblStyle w:val="TableGrid"/>
        <w:tblW w:type="auto" w:w="0"/>
        <w:jc w:val="center"/>
        <w:tblLook w:firstColumn="1" w:firstRow="1" w:lastColumn="0" w:lastRow="0" w:noHBand="0" w:noVBand="1" w:val="04A0"/>
      </w:tblPr>
      <w:tblGrid>
        <w:gridCol w:w="3024"/>
        <w:gridCol w:w="3024"/>
        <w:gridCol w:w="3024"/>
      </w:tblGrid>
      <w:tr>
        <w:tc>
          <w:tcPr>
            <w:tcW w:type="dxa" w:w="1587"/>
            <w:shd w:val="clear" w:fill="2E6E4E"/>
          </w:tcPr>
          <w:p>
            <w:pPr>
              <w:jc w:val="center"/>
            </w:pPr>
            <w:r>
              <w:rPr>
                <w:rFonts w:ascii="微软雅黑" w:hAnsi="微软雅黑" w:eastAsia="微软雅黑"/>
                <w:b/>
                <w:color w:val="FFFFFF"/>
                <w:sz w:val="20"/>
              </w:rPr>
              <w:t>模块</w:t>
            </w:r>
          </w:p>
        </w:tc>
        <w:tc>
          <w:tcPr>
            <w:tcW w:type="dxa" w:w="4309"/>
            <w:shd w:val="clear" w:fill="2E6E4E"/>
          </w:tcPr>
          <w:p>
            <w:pPr>
              <w:jc w:val="center"/>
            </w:pPr>
            <w:r>
              <w:rPr>
                <w:rFonts w:ascii="微软雅黑" w:hAnsi="微软雅黑" w:eastAsia="微软雅黑"/>
                <w:b/>
                <w:color w:val="FFFFFF"/>
                <w:sz w:val="20"/>
              </w:rPr>
              <w:t>核心功能</w:t>
            </w:r>
          </w:p>
        </w:tc>
        <w:tc>
          <w:tcPr>
            <w:tcW w:type="dxa" w:w="3175"/>
            <w:shd w:val="clear" w:fill="2E6E4E"/>
          </w:tcPr>
          <w:p>
            <w:pPr>
              <w:jc w:val="center"/>
            </w:pPr>
            <w:r>
              <w:rPr>
                <w:rFonts w:ascii="微软雅黑" w:hAnsi="微软雅黑" w:eastAsia="微软雅黑"/>
                <w:b/>
                <w:color w:val="FFFFFF"/>
                <w:sz w:val="20"/>
              </w:rPr>
              <w:t>运营价值</w:t>
            </w:r>
          </w:p>
        </w:tc>
      </w:tr>
      <w:tr>
        <w:tc>
          <w:tcPr>
            <w:tcW w:type="dxa" w:w="1587"/>
          </w:tcPr>
          <w:p>
            <w:pPr>
              <w:spacing w:after="40"/>
            </w:pPr>
            <w:r>
              <w:rPr>
                <w:rFonts w:ascii="宋体" w:hAnsi="宋体" w:eastAsia="宋体"/>
                <w:b/>
                <w:sz w:val="20"/>
              </w:rPr>
              <w:t>票务预约</w:t>
            </w:r>
          </w:p>
        </w:tc>
        <w:tc>
          <w:tcPr>
            <w:tcW w:type="dxa" w:w="4309"/>
          </w:tcPr>
          <w:p>
            <w:pPr>
              <w:spacing w:after="40"/>
            </w:pPr>
            <w:r>
              <w:rPr>
                <w:rFonts w:ascii="宋体" w:hAnsi="宋体" w:eastAsia="宋体"/>
                <w:b w:val="0"/>
                <w:sz w:val="20"/>
              </w:rPr>
              <w:t>分时预约、电子票/年卡、套票组合、高铁票根优惠核销</w:t>
            </w:r>
          </w:p>
        </w:tc>
        <w:tc>
          <w:tcPr>
            <w:tcW w:type="dxa" w:w="3175"/>
          </w:tcPr>
          <w:p>
            <w:pPr>
              <w:spacing w:after="40"/>
            </w:pPr>
            <w:r>
              <w:rPr>
                <w:rFonts w:ascii="宋体" w:hAnsi="宋体" w:eastAsia="宋体"/>
                <w:b w:val="0"/>
                <w:sz w:val="20"/>
              </w:rPr>
              <w:t>削峰填谷、动态定价落地、预收现金流</w:t>
            </w:r>
          </w:p>
        </w:tc>
      </w:tr>
      <w:tr>
        <w:tc>
          <w:tcPr>
            <w:tcW w:type="dxa" w:w="1587"/>
            <w:shd w:val="clear" w:fill="F2F6F3"/>
          </w:tcPr>
          <w:p>
            <w:pPr>
              <w:spacing w:after="40"/>
            </w:pPr>
            <w:r>
              <w:rPr>
                <w:rFonts w:ascii="宋体" w:hAnsi="宋体" w:eastAsia="宋体"/>
                <w:b/>
                <w:sz w:val="20"/>
              </w:rPr>
              <w:t>智慧导览</w:t>
            </w:r>
          </w:p>
        </w:tc>
        <w:tc>
          <w:tcPr>
            <w:tcW w:type="dxa" w:w="4309"/>
            <w:shd w:val="clear" w:fill="F2F6F3"/>
          </w:tcPr>
          <w:p>
            <w:pPr>
              <w:spacing w:after="40"/>
            </w:pPr>
            <w:r>
              <w:rPr>
                <w:rFonts w:ascii="宋体" w:hAnsi="宋体" w:eastAsia="宋体"/>
                <w:b w:val="0"/>
                <w:sz w:val="20"/>
              </w:rPr>
              <w:t>手绘地图、AR实景导航、玉皇阁语音讲解、游线推荐（2小时/半日/夜游线）</w:t>
            </w:r>
          </w:p>
        </w:tc>
        <w:tc>
          <w:tcPr>
            <w:tcW w:type="dxa" w:w="3175"/>
            <w:shd w:val="clear" w:fill="F2F6F3"/>
          </w:tcPr>
          <w:p>
            <w:pPr>
              <w:spacing w:after="40"/>
            </w:pPr>
            <w:r>
              <w:rPr>
                <w:rFonts w:ascii="宋体" w:hAnsi="宋体" w:eastAsia="宋体"/>
                <w:b w:val="0"/>
                <w:sz w:val="20"/>
              </w:rPr>
              <w:t>提升体验、引导客流走向二销点位</w:t>
            </w:r>
          </w:p>
        </w:tc>
      </w:tr>
      <w:tr>
        <w:tc>
          <w:tcPr>
            <w:tcW w:type="dxa" w:w="1587"/>
          </w:tcPr>
          <w:p>
            <w:pPr>
              <w:spacing w:after="40"/>
            </w:pPr>
            <w:r>
              <w:rPr>
                <w:rFonts w:ascii="宋体" w:hAnsi="宋体" w:eastAsia="宋体"/>
                <w:b/>
                <w:sz w:val="20"/>
              </w:rPr>
              <w:t>会员成长</w:t>
            </w:r>
          </w:p>
        </w:tc>
        <w:tc>
          <w:tcPr>
            <w:tcW w:type="dxa" w:w="4309"/>
          </w:tcPr>
          <w:p>
            <w:pPr>
              <w:spacing w:after="40"/>
            </w:pPr>
            <w:r>
              <w:rPr>
                <w:rFonts w:ascii="宋体" w:hAnsi="宋体" w:eastAsia="宋体"/>
                <w:b w:val="0"/>
                <w:sz w:val="20"/>
              </w:rPr>
              <w:t>积分、等级权益、储值、生日/节气营销、市民年卡</w:t>
            </w:r>
          </w:p>
        </w:tc>
        <w:tc>
          <w:tcPr>
            <w:tcW w:type="dxa" w:w="3175"/>
          </w:tcPr>
          <w:p>
            <w:pPr>
              <w:spacing w:after="40"/>
            </w:pPr>
            <w:r>
              <w:rPr>
                <w:rFonts w:ascii="宋体" w:hAnsi="宋体" w:eastAsia="宋体"/>
                <w:b w:val="0"/>
                <w:sz w:val="20"/>
              </w:rPr>
              <w:t>复购与本地基本盘经营</w:t>
            </w:r>
          </w:p>
        </w:tc>
      </w:tr>
      <w:tr>
        <w:tc>
          <w:tcPr>
            <w:tcW w:type="dxa" w:w="1587"/>
            <w:shd w:val="clear" w:fill="F2F6F3"/>
          </w:tcPr>
          <w:p>
            <w:pPr>
              <w:spacing w:after="40"/>
            </w:pPr>
            <w:r>
              <w:rPr>
                <w:rFonts w:ascii="宋体" w:hAnsi="宋体" w:eastAsia="宋体"/>
                <w:b/>
                <w:sz w:val="20"/>
              </w:rPr>
              <w:t>活动报名</w:t>
            </w:r>
          </w:p>
        </w:tc>
        <w:tc>
          <w:tcPr>
            <w:tcW w:type="dxa" w:w="4309"/>
            <w:shd w:val="clear" w:fill="F2F6F3"/>
          </w:tcPr>
          <w:p>
            <w:pPr>
              <w:spacing w:after="40"/>
            </w:pPr>
            <w:r>
              <w:rPr>
                <w:rFonts w:ascii="宋体" w:hAnsi="宋体" w:eastAsia="宋体"/>
                <w:b w:val="0"/>
                <w:sz w:val="20"/>
              </w:rPr>
              <w:t>庙会、灯会、研学、露营、赛事报名与签到</w:t>
            </w:r>
          </w:p>
        </w:tc>
        <w:tc>
          <w:tcPr>
            <w:tcW w:type="dxa" w:w="3175"/>
            <w:shd w:val="clear" w:fill="F2F6F3"/>
          </w:tcPr>
          <w:p>
            <w:pPr>
              <w:spacing w:after="40"/>
            </w:pPr>
            <w:r>
              <w:rPr>
                <w:rFonts w:ascii="宋体" w:hAnsi="宋体" w:eastAsia="宋体"/>
                <w:b w:val="0"/>
                <w:sz w:val="20"/>
              </w:rPr>
              <w:t>活动售票化、私域沉淀</w:t>
            </w:r>
          </w:p>
        </w:tc>
      </w:tr>
      <w:tr>
        <w:tc>
          <w:tcPr>
            <w:tcW w:type="dxa" w:w="1587"/>
          </w:tcPr>
          <w:p>
            <w:pPr>
              <w:spacing w:after="40"/>
            </w:pPr>
            <w:r>
              <w:rPr>
                <w:rFonts w:ascii="宋体" w:hAnsi="宋体" w:eastAsia="宋体"/>
                <w:b/>
                <w:sz w:val="20"/>
              </w:rPr>
              <w:t>线上商城</w:t>
            </w:r>
          </w:p>
        </w:tc>
        <w:tc>
          <w:tcPr>
            <w:tcW w:type="dxa" w:w="4309"/>
          </w:tcPr>
          <w:p>
            <w:pPr>
              <w:spacing w:after="40"/>
            </w:pPr>
            <w:r>
              <w:rPr>
                <w:rFonts w:ascii="宋体" w:hAnsi="宋体" w:eastAsia="宋体"/>
                <w:b w:val="0"/>
                <w:sz w:val="20"/>
              </w:rPr>
              <w:t>文创预订、伴手礼寄递（高铁客群“空手游”）、餐饮预点单</w:t>
            </w:r>
          </w:p>
        </w:tc>
        <w:tc>
          <w:tcPr>
            <w:tcW w:type="dxa" w:w="3175"/>
          </w:tcPr>
          <w:p>
            <w:pPr>
              <w:spacing w:after="40"/>
            </w:pPr>
            <w:r>
              <w:rPr>
                <w:rFonts w:ascii="宋体" w:hAnsi="宋体" w:eastAsia="宋体"/>
                <w:b w:val="0"/>
                <w:sz w:val="20"/>
              </w:rPr>
              <w:t>突破物理边界的第二收入曲线</w:t>
            </w:r>
          </w:p>
        </w:tc>
      </w:tr>
      <w:tr>
        <w:tc>
          <w:tcPr>
            <w:tcW w:type="dxa" w:w="1587"/>
            <w:shd w:val="clear" w:fill="F2F6F3"/>
          </w:tcPr>
          <w:p>
            <w:pPr>
              <w:spacing w:after="40"/>
            </w:pPr>
            <w:r>
              <w:rPr>
                <w:rFonts w:ascii="宋体" w:hAnsi="宋体" w:eastAsia="宋体"/>
                <w:b/>
                <w:sz w:val="20"/>
              </w:rPr>
              <w:t>社交裂变</w:t>
            </w:r>
          </w:p>
        </w:tc>
        <w:tc>
          <w:tcPr>
            <w:tcW w:type="dxa" w:w="4309"/>
            <w:shd w:val="clear" w:fill="F2F6F3"/>
          </w:tcPr>
          <w:p>
            <w:pPr>
              <w:spacing w:after="40"/>
            </w:pPr>
            <w:r>
              <w:rPr>
                <w:rFonts w:ascii="宋体" w:hAnsi="宋体" w:eastAsia="宋体"/>
                <w:b w:val="0"/>
                <w:sz w:val="20"/>
              </w:rPr>
              <w:t>打卡集章、拍照模板、拼团券、分销返佣</w:t>
            </w:r>
          </w:p>
        </w:tc>
        <w:tc>
          <w:tcPr>
            <w:tcW w:type="dxa" w:w="3175"/>
            <w:shd w:val="clear" w:fill="F2F6F3"/>
          </w:tcPr>
          <w:p>
            <w:pPr>
              <w:spacing w:after="40"/>
            </w:pPr>
            <w:r>
              <w:rPr>
                <w:rFonts w:ascii="宋体" w:hAnsi="宋体" w:eastAsia="宋体"/>
                <w:b w:val="0"/>
                <w:sz w:val="20"/>
              </w:rPr>
              <w:t>低成本获客、UGC传播</w:t>
            </w:r>
          </w:p>
        </w:tc>
      </w:tr>
      <w:tr>
        <w:tc>
          <w:tcPr>
            <w:tcW w:type="dxa" w:w="1587"/>
          </w:tcPr>
          <w:p>
            <w:pPr>
              <w:spacing w:after="40"/>
            </w:pPr>
            <w:r>
              <w:rPr>
                <w:rFonts w:ascii="宋体" w:hAnsi="宋体" w:eastAsia="宋体"/>
                <w:b/>
                <w:sz w:val="20"/>
              </w:rPr>
              <w:t>便民服务</w:t>
            </w:r>
          </w:p>
        </w:tc>
        <w:tc>
          <w:tcPr>
            <w:tcW w:type="dxa" w:w="4309"/>
          </w:tcPr>
          <w:p>
            <w:pPr>
              <w:spacing w:after="40"/>
            </w:pPr>
            <w:r>
              <w:rPr>
                <w:rFonts w:ascii="宋体" w:hAnsi="宋体" w:eastAsia="宋体"/>
                <w:b w:val="0"/>
                <w:sz w:val="20"/>
              </w:rPr>
              <w:t>停车缴费、寄存、轮椅/童车租借、投诉建议、紧急求助一键呼</w:t>
            </w:r>
          </w:p>
        </w:tc>
        <w:tc>
          <w:tcPr>
            <w:tcW w:type="dxa" w:w="3175"/>
          </w:tcPr>
          <w:p>
            <w:pPr>
              <w:spacing w:after="40"/>
            </w:pPr>
            <w:r>
              <w:rPr>
                <w:rFonts w:ascii="宋体" w:hAnsi="宋体" w:eastAsia="宋体"/>
                <w:b w:val="0"/>
                <w:sz w:val="20"/>
              </w:rPr>
              <w:t>服务口碑与安全底线</w:t>
            </w:r>
          </w:p>
        </w:tc>
      </w:tr>
      <w:tr>
        <w:tc>
          <w:tcPr>
            <w:tcW w:type="dxa" w:w="1587"/>
            <w:shd w:val="clear" w:fill="F2F6F3"/>
          </w:tcPr>
          <w:p>
            <w:pPr>
              <w:spacing w:after="40"/>
            </w:pPr>
            <w:r>
              <w:rPr>
                <w:rFonts w:ascii="宋体" w:hAnsi="宋体" w:eastAsia="宋体"/>
                <w:b/>
                <w:sz w:val="20"/>
              </w:rPr>
              <w:t>联动专区</w:t>
            </w:r>
          </w:p>
        </w:tc>
        <w:tc>
          <w:tcPr>
            <w:tcW w:type="dxa" w:w="4309"/>
            <w:shd w:val="clear" w:fill="F2F6F3"/>
          </w:tcPr>
          <w:p>
            <w:pPr>
              <w:spacing w:after="40"/>
            </w:pPr>
            <w:r>
              <w:rPr>
                <w:rFonts w:ascii="宋体" w:hAnsi="宋体" w:eastAsia="宋体"/>
                <w:b w:val="0"/>
                <w:sz w:val="20"/>
              </w:rPr>
              <w:t>万峰雪票互兑、长白山行程拼接、G331自驾攻略、龙兴里优惠券互发</w:t>
            </w:r>
          </w:p>
        </w:tc>
        <w:tc>
          <w:tcPr>
            <w:tcW w:type="dxa" w:w="3175"/>
            <w:shd w:val="clear" w:fill="F2F6F3"/>
          </w:tcPr>
          <w:p>
            <w:pPr>
              <w:spacing w:after="40"/>
            </w:pPr>
            <w:r>
              <w:rPr>
                <w:rFonts w:ascii="宋体" w:hAnsi="宋体" w:eastAsia="宋体"/>
                <w:b w:val="0"/>
                <w:sz w:val="20"/>
              </w:rPr>
              <w:t>城市级流量互导的线上入口</w:t>
            </w:r>
          </w:p>
        </w:tc>
      </w:tr>
    </w:tbl>
    <w:p>
      <w:pPr>
        <w:spacing w:after="40"/>
      </w:pPr>
    </w:p>
    <w:p>
      <w:pPr>
        <w:keepNext/>
        <w:spacing w:before="240" w:after="120"/>
      </w:pPr>
      <w:r>
        <w:rPr>
          <w:rFonts w:ascii="微软雅黑" w:hAnsi="微软雅黑" w:eastAsia="微软雅黑"/>
          <w:b/>
          <w:color w:val="333333"/>
          <w:sz w:val="27"/>
        </w:rPr>
        <w:t>9.2 管理端（智慧管理）六大模块</w:t>
      </w:r>
    </w:p>
    <w:tbl>
      <w:tblPr>
        <w:tblStyle w:val="TableGrid"/>
        <w:tblW w:type="auto" w:w="0"/>
        <w:jc w:val="center"/>
        <w:tblLook w:firstColumn="1" w:firstRow="1" w:lastColumn="0" w:lastRow="0" w:noHBand="0" w:noVBand="1" w:val="04A0"/>
      </w:tblPr>
      <w:tblGrid>
        <w:gridCol w:w="3024"/>
        <w:gridCol w:w="3024"/>
        <w:gridCol w:w="3024"/>
      </w:tblGrid>
      <w:tr>
        <w:tc>
          <w:tcPr>
            <w:tcW w:type="dxa" w:w="1587"/>
            <w:shd w:val="clear" w:fill="2E6E4E"/>
          </w:tcPr>
          <w:p>
            <w:pPr>
              <w:jc w:val="center"/>
            </w:pPr>
            <w:r>
              <w:rPr>
                <w:rFonts w:ascii="微软雅黑" w:hAnsi="微软雅黑" w:eastAsia="微软雅黑"/>
                <w:b/>
                <w:color w:val="FFFFFF"/>
                <w:sz w:val="20"/>
              </w:rPr>
              <w:t>模块</w:t>
            </w:r>
          </w:p>
        </w:tc>
        <w:tc>
          <w:tcPr>
            <w:tcW w:type="dxa" w:w="4309"/>
            <w:shd w:val="clear" w:fill="2E6E4E"/>
          </w:tcPr>
          <w:p>
            <w:pPr>
              <w:jc w:val="center"/>
            </w:pPr>
            <w:r>
              <w:rPr>
                <w:rFonts w:ascii="微软雅黑" w:hAnsi="微软雅黑" w:eastAsia="微软雅黑"/>
                <w:b/>
                <w:color w:val="FFFFFF"/>
                <w:sz w:val="20"/>
              </w:rPr>
              <w:t>核心功能</w:t>
            </w:r>
          </w:p>
        </w:tc>
        <w:tc>
          <w:tcPr>
            <w:tcW w:type="dxa" w:w="3175"/>
            <w:shd w:val="clear" w:fill="2E6E4E"/>
          </w:tcPr>
          <w:p>
            <w:pPr>
              <w:jc w:val="center"/>
            </w:pPr>
            <w:r>
              <w:rPr>
                <w:rFonts w:ascii="微软雅黑" w:hAnsi="微软雅黑" w:eastAsia="微软雅黑"/>
                <w:b/>
                <w:color w:val="FFFFFF"/>
                <w:sz w:val="20"/>
              </w:rPr>
              <w:t>管理价值</w:t>
            </w:r>
          </w:p>
        </w:tc>
      </w:tr>
      <w:tr>
        <w:tc>
          <w:tcPr>
            <w:tcW w:type="dxa" w:w="1587"/>
          </w:tcPr>
          <w:p>
            <w:pPr>
              <w:spacing w:after="40"/>
            </w:pPr>
            <w:r>
              <w:rPr>
                <w:rFonts w:ascii="宋体" w:hAnsi="宋体" w:eastAsia="宋体"/>
                <w:b/>
                <w:sz w:val="20"/>
              </w:rPr>
              <w:t>客流监测</w:t>
            </w:r>
          </w:p>
        </w:tc>
        <w:tc>
          <w:tcPr>
            <w:tcW w:type="dxa" w:w="4309"/>
          </w:tcPr>
          <w:p>
            <w:pPr>
              <w:spacing w:after="40"/>
            </w:pPr>
            <w:r>
              <w:rPr>
                <w:rFonts w:ascii="宋体" w:hAnsi="宋体" w:eastAsia="宋体"/>
                <w:b w:val="0"/>
                <w:sz w:val="20"/>
              </w:rPr>
              <w:t>闸机+视频AI客流统计、区域热力图、瞬时承载预警</w:t>
            </w:r>
          </w:p>
        </w:tc>
        <w:tc>
          <w:tcPr>
            <w:tcW w:type="dxa" w:w="3175"/>
          </w:tcPr>
          <w:p>
            <w:pPr>
              <w:spacing w:after="40"/>
            </w:pPr>
            <w:r>
              <w:rPr>
                <w:rFonts w:ascii="宋体" w:hAnsi="宋体" w:eastAsia="宋体"/>
                <w:b w:val="0"/>
                <w:sz w:val="20"/>
              </w:rPr>
              <w:t>安全管理与动线优化依据</w:t>
            </w:r>
          </w:p>
        </w:tc>
      </w:tr>
      <w:tr>
        <w:tc>
          <w:tcPr>
            <w:tcW w:type="dxa" w:w="1587"/>
            <w:shd w:val="clear" w:fill="F2F6F3"/>
          </w:tcPr>
          <w:p>
            <w:pPr>
              <w:spacing w:after="40"/>
            </w:pPr>
            <w:r>
              <w:rPr>
                <w:rFonts w:ascii="宋体" w:hAnsi="宋体" w:eastAsia="宋体"/>
                <w:b/>
                <w:sz w:val="20"/>
              </w:rPr>
              <w:t>经营驾驶舱</w:t>
            </w:r>
          </w:p>
        </w:tc>
        <w:tc>
          <w:tcPr>
            <w:tcW w:type="dxa" w:w="4309"/>
            <w:shd w:val="clear" w:fill="F2F6F3"/>
          </w:tcPr>
          <w:p>
            <w:pPr>
              <w:spacing w:after="40"/>
            </w:pPr>
            <w:r>
              <w:rPr>
                <w:rFonts w:ascii="宋体" w:hAnsi="宋体" w:eastAsia="宋体"/>
                <w:b w:val="0"/>
                <w:sz w:val="20"/>
              </w:rPr>
              <w:t>分项目实时营收、客单价、转化率、渠道ROI看板</w:t>
            </w:r>
          </w:p>
        </w:tc>
        <w:tc>
          <w:tcPr>
            <w:tcW w:type="dxa" w:w="3175"/>
            <w:shd w:val="clear" w:fill="F2F6F3"/>
          </w:tcPr>
          <w:p>
            <w:pPr>
              <w:spacing w:after="40"/>
            </w:pPr>
            <w:r>
              <w:rPr>
                <w:rFonts w:ascii="宋体" w:hAnsi="宋体" w:eastAsia="宋体"/>
                <w:b w:val="0"/>
                <w:sz w:val="20"/>
              </w:rPr>
              <w:t>日清日结，营收提升方案效果可量化追踪</w:t>
            </w:r>
          </w:p>
        </w:tc>
      </w:tr>
      <w:tr>
        <w:tc>
          <w:tcPr>
            <w:tcW w:type="dxa" w:w="1587"/>
          </w:tcPr>
          <w:p>
            <w:pPr>
              <w:spacing w:after="40"/>
            </w:pPr>
            <w:r>
              <w:rPr>
                <w:rFonts w:ascii="宋体" w:hAnsi="宋体" w:eastAsia="宋体"/>
                <w:b/>
                <w:sz w:val="20"/>
              </w:rPr>
              <w:t>设施设备管理</w:t>
            </w:r>
          </w:p>
        </w:tc>
        <w:tc>
          <w:tcPr>
            <w:tcW w:type="dxa" w:w="4309"/>
          </w:tcPr>
          <w:p>
            <w:pPr>
              <w:spacing w:after="40"/>
            </w:pPr>
            <w:r>
              <w:rPr>
                <w:rFonts w:ascii="宋体" w:hAnsi="宋体" w:eastAsia="宋体"/>
                <w:b w:val="0"/>
                <w:sz w:val="20"/>
              </w:rPr>
              <w:t>架空设施巡检工单、游乐设备保养台账、能耗分区计量</w:t>
            </w:r>
          </w:p>
        </w:tc>
        <w:tc>
          <w:tcPr>
            <w:tcW w:type="dxa" w:w="3175"/>
          </w:tcPr>
          <w:p>
            <w:pPr>
              <w:spacing w:after="40"/>
            </w:pPr>
            <w:r>
              <w:rPr>
                <w:rFonts w:ascii="宋体" w:hAnsi="宋体" w:eastAsia="宋体"/>
                <w:b w:val="0"/>
                <w:sz w:val="20"/>
              </w:rPr>
              <w:t>安全合规留痕、能耗成本下降</w:t>
            </w:r>
          </w:p>
        </w:tc>
      </w:tr>
      <w:tr>
        <w:tc>
          <w:tcPr>
            <w:tcW w:type="dxa" w:w="1587"/>
            <w:shd w:val="clear" w:fill="F2F6F3"/>
          </w:tcPr>
          <w:p>
            <w:pPr>
              <w:spacing w:after="40"/>
            </w:pPr>
            <w:r>
              <w:rPr>
                <w:rFonts w:ascii="宋体" w:hAnsi="宋体" w:eastAsia="宋体"/>
                <w:b/>
                <w:sz w:val="20"/>
              </w:rPr>
              <w:t>员工排班</w:t>
            </w:r>
          </w:p>
        </w:tc>
        <w:tc>
          <w:tcPr>
            <w:tcW w:type="dxa" w:w="4309"/>
            <w:shd w:val="clear" w:fill="F2F6F3"/>
          </w:tcPr>
          <w:p>
            <w:pPr>
              <w:spacing w:after="40"/>
            </w:pPr>
            <w:r>
              <w:rPr>
                <w:rFonts w:ascii="宋体" w:hAnsi="宋体" w:eastAsia="宋体"/>
                <w:b w:val="0"/>
                <w:sz w:val="20"/>
              </w:rPr>
              <w:t>旺淡季弹性排班、扫码巡更、服务考核</w:t>
            </w:r>
          </w:p>
        </w:tc>
        <w:tc>
          <w:tcPr>
            <w:tcW w:type="dxa" w:w="3175"/>
            <w:shd w:val="clear" w:fill="F2F6F3"/>
          </w:tcPr>
          <w:p>
            <w:pPr>
              <w:spacing w:after="40"/>
            </w:pPr>
            <w:r>
              <w:rPr>
                <w:rFonts w:ascii="宋体" w:hAnsi="宋体" w:eastAsia="宋体"/>
                <w:b w:val="0"/>
                <w:sz w:val="20"/>
              </w:rPr>
              <w:t>人工成本精细化（人工为多数项目最大成本项）</w:t>
            </w:r>
          </w:p>
        </w:tc>
      </w:tr>
      <w:tr>
        <w:tc>
          <w:tcPr>
            <w:tcW w:type="dxa" w:w="1587"/>
          </w:tcPr>
          <w:p>
            <w:pPr>
              <w:spacing w:after="40"/>
            </w:pPr>
            <w:r>
              <w:rPr>
                <w:rFonts w:ascii="宋体" w:hAnsi="宋体" w:eastAsia="宋体"/>
                <w:b/>
                <w:sz w:val="20"/>
              </w:rPr>
              <w:t>应急指挥</w:t>
            </w:r>
          </w:p>
        </w:tc>
        <w:tc>
          <w:tcPr>
            <w:tcW w:type="dxa" w:w="4309"/>
          </w:tcPr>
          <w:p>
            <w:pPr>
              <w:spacing w:after="40"/>
            </w:pPr>
            <w:r>
              <w:rPr>
                <w:rFonts w:ascii="宋体" w:hAnsi="宋体" w:eastAsia="宋体"/>
                <w:b w:val="0"/>
                <w:sz w:val="20"/>
              </w:rPr>
              <w:t>一键广播、应急预案流程化、与文旅/应急部门数据接口</w:t>
            </w:r>
          </w:p>
        </w:tc>
        <w:tc>
          <w:tcPr>
            <w:tcW w:type="dxa" w:w="3175"/>
          </w:tcPr>
          <w:p>
            <w:pPr>
              <w:spacing w:after="40"/>
            </w:pPr>
            <w:r>
              <w:rPr>
                <w:rFonts w:ascii="宋体" w:hAnsi="宋体" w:eastAsia="宋体"/>
                <w:b w:val="0"/>
                <w:sz w:val="20"/>
              </w:rPr>
              <w:t>极端天气与大客流处置</w:t>
            </w:r>
          </w:p>
        </w:tc>
      </w:tr>
      <w:tr>
        <w:tc>
          <w:tcPr>
            <w:tcW w:type="dxa" w:w="1587"/>
            <w:shd w:val="clear" w:fill="F2F6F3"/>
          </w:tcPr>
          <w:p>
            <w:pPr>
              <w:spacing w:after="40"/>
            </w:pPr>
            <w:r>
              <w:rPr>
                <w:rFonts w:ascii="宋体" w:hAnsi="宋体" w:eastAsia="宋体"/>
                <w:b/>
                <w:sz w:val="20"/>
              </w:rPr>
              <w:t>生态监测</w:t>
            </w:r>
          </w:p>
        </w:tc>
        <w:tc>
          <w:tcPr>
            <w:tcW w:type="dxa" w:w="4309"/>
            <w:shd w:val="clear" w:fill="F2F6F3"/>
          </w:tcPr>
          <w:p>
            <w:pPr>
              <w:spacing w:after="40"/>
            </w:pPr>
            <w:r>
              <w:rPr>
                <w:rFonts w:ascii="宋体" w:hAnsi="宋体" w:eastAsia="宋体"/>
                <w:b w:val="0"/>
                <w:sz w:val="20"/>
              </w:rPr>
              <w:t>林区红外/烟感监测、树木保护台账、恢复原貌影像存档</w:t>
            </w:r>
          </w:p>
        </w:tc>
        <w:tc>
          <w:tcPr>
            <w:tcW w:type="dxa" w:w="3175"/>
            <w:shd w:val="clear" w:fill="F2F6F3"/>
          </w:tcPr>
          <w:p>
            <w:pPr>
              <w:spacing w:after="40"/>
            </w:pPr>
            <w:r>
              <w:rPr>
                <w:rFonts w:ascii="宋体" w:hAnsi="宋体" w:eastAsia="宋体"/>
                <w:b w:val="0"/>
                <w:sz w:val="20"/>
              </w:rPr>
              <w:t>兑现“零扰动”承诺的数字化证据链</w:t>
            </w:r>
          </w:p>
        </w:tc>
      </w:tr>
    </w:tbl>
    <w:p>
      <w:pPr>
        <w:spacing w:after="40"/>
      </w:pPr>
    </w:p>
    <w:p>
      <w:pPr>
        <w:spacing w:before="360" w:after="200"/>
        <w:keepNext/>
        <w:pBdr>
          <w:bottom w:val="single" w:sz="12" w:space="4" w:color="2E6E4E"/>
        </w:pBdr>
      </w:pPr>
      <w:r>
        <w:rPr>
          <w:rFonts w:ascii="微软雅黑" w:hAnsi="微软雅黑" w:eastAsia="微软雅黑"/>
          <w:b/>
          <w:color w:val="2E6E4E"/>
          <w:sz w:val="32"/>
        </w:rPr>
        <w:t>十　品牌口号与广告语方案</w:t>
      </w:r>
    </w:p>
    <w:p>
      <w:pPr>
        <w:keepNext/>
        <w:spacing w:before="240" w:after="120"/>
      </w:pPr>
      <w:r>
        <w:rPr>
          <w:rFonts w:ascii="微软雅黑" w:hAnsi="微软雅黑" w:eastAsia="微软雅黑"/>
          <w:b/>
          <w:color w:val="333333"/>
          <w:sz w:val="27"/>
        </w:rPr>
        <w:t>10.1 主口号（三选一）</w:t>
      </w:r>
    </w:p>
    <w:tbl>
      <w:tblPr>
        <w:tblStyle w:val="TableGrid"/>
        <w:tblW w:type="auto" w:w="0"/>
        <w:jc w:val="center"/>
        <w:tblLook w:firstColumn="1" w:firstRow="1" w:lastColumn="0" w:lastRow="0" w:noHBand="0" w:noVBand="1" w:val="04A0"/>
      </w:tblPr>
      <w:tblGrid>
        <w:gridCol w:w="4536"/>
        <w:gridCol w:w="4536"/>
      </w:tblGrid>
      <w:tr>
        <w:tc>
          <w:tcPr>
            <w:tcW w:type="dxa" w:w="3402"/>
            <w:shd w:val="clear" w:fill="2E6E4E"/>
          </w:tcPr>
          <w:p>
            <w:pPr>
              <w:jc w:val="center"/>
            </w:pPr>
            <w:r>
              <w:rPr>
                <w:rFonts w:ascii="微软雅黑" w:hAnsi="微软雅黑" w:eastAsia="微软雅黑"/>
                <w:b/>
                <w:color w:val="FFFFFF"/>
                <w:sz w:val="21"/>
              </w:rPr>
              <w:t>口号</w:t>
            </w:r>
          </w:p>
        </w:tc>
        <w:tc>
          <w:tcPr>
            <w:tcW w:type="dxa" w:w="5669"/>
            <w:shd w:val="clear" w:fill="2E6E4E"/>
          </w:tcPr>
          <w:p>
            <w:pPr>
              <w:jc w:val="center"/>
            </w:pPr>
            <w:r>
              <w:rPr>
                <w:rFonts w:ascii="微软雅黑" w:hAnsi="微软雅黑" w:eastAsia="微软雅黑"/>
                <w:b/>
                <w:color w:val="FFFFFF"/>
                <w:sz w:val="21"/>
              </w:rPr>
              <w:t>创意阐释</w:t>
            </w:r>
          </w:p>
        </w:tc>
      </w:tr>
      <w:tr>
        <w:tc>
          <w:tcPr>
            <w:tcW w:type="dxa" w:w="3402"/>
          </w:tcPr>
          <w:p>
            <w:pPr>
              <w:spacing w:after="40"/>
            </w:pPr>
            <w:r>
              <w:rPr>
                <w:rFonts w:ascii="宋体" w:hAnsi="宋体" w:eastAsia="宋体"/>
                <w:b/>
                <w:sz w:val="21"/>
              </w:rPr>
              <w:t>登玉皇山，阅通化城</w:t>
            </w:r>
          </w:p>
        </w:tc>
        <w:tc>
          <w:tcPr>
            <w:tcW w:type="dxa" w:w="5669"/>
          </w:tcPr>
          <w:p>
            <w:pPr>
              <w:spacing w:after="40"/>
            </w:pPr>
            <w:r>
              <w:rPr>
                <w:rFonts w:ascii="宋体" w:hAnsi="宋体" w:eastAsia="宋体"/>
                <w:b w:val="0"/>
                <w:sz w:val="21"/>
              </w:rPr>
              <w:t>“登”与“阅”两个动作，把公园定义为阅读通化的城市阳台，简洁有力，适合作为总口号</w:t>
            </w:r>
          </w:p>
        </w:tc>
      </w:tr>
      <w:tr>
        <w:tc>
          <w:tcPr>
            <w:tcW w:type="dxa" w:w="3402"/>
            <w:shd w:val="clear" w:fill="F2F6F3"/>
          </w:tcPr>
          <w:p>
            <w:pPr>
              <w:spacing w:after="40"/>
            </w:pPr>
            <w:r>
              <w:rPr>
                <w:rFonts w:ascii="宋体" w:hAnsi="宋体" w:eastAsia="宋体"/>
                <w:b/>
                <w:sz w:val="21"/>
              </w:rPr>
              <w:t>一座与通化同龄的山</w:t>
            </w:r>
          </w:p>
        </w:tc>
        <w:tc>
          <w:tcPr>
            <w:tcW w:type="dxa" w:w="5669"/>
            <w:shd w:val="clear" w:fill="F2F6F3"/>
          </w:tcPr>
          <w:p>
            <w:pPr>
              <w:spacing w:after="40"/>
            </w:pPr>
            <w:r>
              <w:rPr>
                <w:rFonts w:ascii="宋体" w:hAnsi="宋体" w:eastAsia="宋体"/>
                <w:b w:val="0"/>
                <w:sz w:val="21"/>
              </w:rPr>
              <w:t>直击1877年城、山同名的历史事实，唤醒全体市民集体记忆，情感号召力最强</w:t>
            </w:r>
          </w:p>
        </w:tc>
      </w:tr>
      <w:tr>
        <w:tc>
          <w:tcPr>
            <w:tcW w:type="dxa" w:w="3402"/>
          </w:tcPr>
          <w:p>
            <w:pPr>
              <w:spacing w:after="40"/>
            </w:pPr>
            <w:r>
              <w:rPr>
                <w:rFonts w:ascii="宋体" w:hAnsi="宋体" w:eastAsia="宋体"/>
                <w:b/>
                <w:sz w:val="21"/>
              </w:rPr>
              <w:t>山城之心，玉皇之上</w:t>
            </w:r>
          </w:p>
        </w:tc>
        <w:tc>
          <w:tcPr>
            <w:tcW w:type="dxa" w:w="5669"/>
          </w:tcPr>
          <w:p>
            <w:pPr>
              <w:spacing w:after="40"/>
            </w:pPr>
            <w:r>
              <w:rPr>
                <w:rFonts w:ascii="宋体" w:hAnsi="宋体" w:eastAsia="宋体"/>
                <w:b w:val="0"/>
                <w:sz w:val="21"/>
              </w:rPr>
              <w:t>点明公园“城市绿心”地位与登临体验，庄重大气，适合政务与形象场合</w:t>
            </w:r>
          </w:p>
        </w:tc>
      </w:tr>
    </w:tbl>
    <w:p>
      <w:pPr>
        <w:spacing w:after="40"/>
      </w:pPr>
    </w:p>
    <w:p>
      <w:pPr>
        <w:keepNext/>
        <w:spacing w:before="240" w:after="120"/>
      </w:pPr>
      <w:r>
        <w:rPr>
          <w:rFonts w:ascii="微软雅黑" w:hAnsi="微软雅黑" w:eastAsia="微软雅黑"/>
          <w:b/>
          <w:color w:val="333333"/>
          <w:sz w:val="27"/>
        </w:rPr>
        <w:t>10.2 场景化广告语</w:t>
      </w:r>
    </w:p>
    <w:tbl>
      <w:tblPr>
        <w:tblStyle w:val="TableGrid"/>
        <w:tblW w:type="auto" w:w="0"/>
        <w:jc w:val="center"/>
        <w:tblLook w:firstColumn="1" w:firstRow="1" w:lastColumn="0" w:lastRow="0" w:noHBand="0" w:noVBand="1" w:val="04A0"/>
      </w:tblPr>
      <w:tblGrid>
        <w:gridCol w:w="4536"/>
        <w:gridCol w:w="4536"/>
      </w:tblGrid>
      <w:tr>
        <w:tc>
          <w:tcPr>
            <w:tcW w:type="dxa" w:w="2268"/>
            <w:shd w:val="clear" w:fill="2E6E4E"/>
          </w:tcPr>
          <w:p>
            <w:pPr>
              <w:jc w:val="center"/>
            </w:pPr>
            <w:r>
              <w:rPr>
                <w:rFonts w:ascii="微软雅黑" w:hAnsi="微软雅黑" w:eastAsia="微软雅黑"/>
                <w:b/>
                <w:color w:val="FFFFFF"/>
                <w:sz w:val="21"/>
              </w:rPr>
              <w:t>适用场景</w:t>
            </w:r>
          </w:p>
        </w:tc>
        <w:tc>
          <w:tcPr>
            <w:tcW w:type="dxa" w:w="6803"/>
            <w:shd w:val="clear" w:fill="2E6E4E"/>
          </w:tcPr>
          <w:p>
            <w:pPr>
              <w:jc w:val="center"/>
            </w:pPr>
            <w:r>
              <w:rPr>
                <w:rFonts w:ascii="微软雅黑" w:hAnsi="微软雅黑" w:eastAsia="微软雅黑"/>
                <w:b/>
                <w:color w:val="FFFFFF"/>
                <w:sz w:val="21"/>
              </w:rPr>
              <w:t>广告语</w:t>
            </w:r>
          </w:p>
        </w:tc>
      </w:tr>
      <w:tr>
        <w:tc>
          <w:tcPr>
            <w:tcW w:type="dxa" w:w="2268"/>
          </w:tcPr>
          <w:p>
            <w:pPr>
              <w:spacing w:after="40"/>
            </w:pPr>
            <w:r>
              <w:rPr>
                <w:rFonts w:ascii="宋体" w:hAnsi="宋体" w:eastAsia="宋体"/>
                <w:b/>
                <w:sz w:val="21"/>
              </w:rPr>
              <w:t>避暑季（夏）</w:t>
            </w:r>
          </w:p>
        </w:tc>
        <w:tc>
          <w:tcPr>
            <w:tcW w:type="dxa" w:w="6803"/>
          </w:tcPr>
          <w:p>
            <w:pPr>
              <w:spacing w:after="40"/>
            </w:pPr>
            <w:r>
              <w:rPr>
                <w:rFonts w:ascii="宋体" w:hAnsi="宋体" w:eastAsia="宋体"/>
                <w:b w:val="0"/>
                <w:sz w:val="21"/>
              </w:rPr>
              <w:t>22℃的夏天，360°的通化——玉皇山等风，也等你</w:t>
            </w:r>
          </w:p>
        </w:tc>
      </w:tr>
      <w:tr>
        <w:tc>
          <w:tcPr>
            <w:tcW w:type="dxa" w:w="2268"/>
            <w:shd w:val="clear" w:fill="F2F6F3"/>
          </w:tcPr>
          <w:p>
            <w:pPr>
              <w:spacing w:after="40"/>
            </w:pPr>
            <w:r>
              <w:rPr>
                <w:rFonts w:ascii="宋体" w:hAnsi="宋体" w:eastAsia="宋体"/>
                <w:b/>
                <w:sz w:val="21"/>
              </w:rPr>
              <w:t>冰雪季（冬）</w:t>
            </w:r>
          </w:p>
        </w:tc>
        <w:tc>
          <w:tcPr>
            <w:tcW w:type="dxa" w:w="6803"/>
            <w:shd w:val="clear" w:fill="F2F6F3"/>
          </w:tcPr>
          <w:p>
            <w:pPr>
              <w:spacing w:after="40"/>
            </w:pPr>
            <w:r>
              <w:rPr>
                <w:rFonts w:ascii="宋体" w:hAnsi="宋体" w:eastAsia="宋体"/>
                <w:b w:val="0"/>
                <w:sz w:val="21"/>
              </w:rPr>
              <w:t>白天滑雪在万峰，夜晚灯火上玉皇</w:t>
            </w:r>
          </w:p>
        </w:tc>
      </w:tr>
      <w:tr>
        <w:tc>
          <w:tcPr>
            <w:tcW w:type="dxa" w:w="2268"/>
          </w:tcPr>
          <w:p>
            <w:pPr>
              <w:spacing w:after="40"/>
            </w:pPr>
            <w:r>
              <w:rPr>
                <w:rFonts w:ascii="宋体" w:hAnsi="宋体" w:eastAsia="宋体"/>
                <w:b/>
                <w:sz w:val="21"/>
              </w:rPr>
              <w:t>夜游产品</w:t>
            </w:r>
          </w:p>
        </w:tc>
        <w:tc>
          <w:tcPr>
            <w:tcW w:type="dxa" w:w="6803"/>
          </w:tcPr>
          <w:p>
            <w:pPr>
              <w:spacing w:after="40"/>
            </w:pPr>
            <w:r>
              <w:rPr>
                <w:rFonts w:ascii="宋体" w:hAnsi="宋体" w:eastAsia="宋体"/>
                <w:b w:val="0"/>
                <w:sz w:val="21"/>
              </w:rPr>
              <w:t>通化的夜，从玉皇山顶亮起</w:t>
            </w:r>
          </w:p>
        </w:tc>
      </w:tr>
      <w:tr>
        <w:tc>
          <w:tcPr>
            <w:tcW w:type="dxa" w:w="2268"/>
            <w:shd w:val="clear" w:fill="F2F6F3"/>
          </w:tcPr>
          <w:p>
            <w:pPr>
              <w:spacing w:after="40"/>
            </w:pPr>
            <w:r>
              <w:rPr>
                <w:rFonts w:ascii="宋体" w:hAnsi="宋体" w:eastAsia="宋体"/>
                <w:b/>
                <w:sz w:val="21"/>
              </w:rPr>
              <w:t>高铁客群</w:t>
            </w:r>
          </w:p>
        </w:tc>
        <w:tc>
          <w:tcPr>
            <w:tcW w:type="dxa" w:w="6803"/>
            <w:shd w:val="clear" w:fill="F2F6F3"/>
          </w:tcPr>
          <w:p>
            <w:pPr>
              <w:spacing w:after="40"/>
            </w:pPr>
            <w:r>
              <w:rPr>
                <w:rFonts w:ascii="宋体" w:hAnsi="宋体" w:eastAsia="宋体"/>
                <w:b w:val="0"/>
                <w:sz w:val="21"/>
              </w:rPr>
              <w:t>高铁一到通化站，先上玉皇山看一眼通化</w:t>
            </w:r>
          </w:p>
        </w:tc>
      </w:tr>
      <w:tr>
        <w:tc>
          <w:tcPr>
            <w:tcW w:type="dxa" w:w="2268"/>
          </w:tcPr>
          <w:p>
            <w:pPr>
              <w:spacing w:after="40"/>
            </w:pPr>
            <w:r>
              <w:rPr>
                <w:rFonts w:ascii="宋体" w:hAnsi="宋体" w:eastAsia="宋体"/>
                <w:b/>
                <w:sz w:val="21"/>
              </w:rPr>
              <w:t>庙会民俗</w:t>
            </w:r>
          </w:p>
        </w:tc>
        <w:tc>
          <w:tcPr>
            <w:tcW w:type="dxa" w:w="6803"/>
          </w:tcPr>
          <w:p>
            <w:pPr>
              <w:spacing w:after="40"/>
            </w:pPr>
            <w:r>
              <w:rPr>
                <w:rFonts w:ascii="宋体" w:hAnsi="宋体" w:eastAsia="宋体"/>
                <w:b w:val="0"/>
                <w:sz w:val="21"/>
              </w:rPr>
              <w:t>四月十八上玉皇，百年庙会赶新潮</w:t>
            </w:r>
          </w:p>
        </w:tc>
      </w:tr>
      <w:tr>
        <w:tc>
          <w:tcPr>
            <w:tcW w:type="dxa" w:w="2268"/>
            <w:shd w:val="clear" w:fill="F2F6F3"/>
          </w:tcPr>
          <w:p>
            <w:pPr>
              <w:spacing w:after="40"/>
            </w:pPr>
            <w:r>
              <w:rPr>
                <w:rFonts w:ascii="宋体" w:hAnsi="宋体" w:eastAsia="宋体"/>
                <w:b/>
                <w:sz w:val="21"/>
              </w:rPr>
              <w:t>亲子家庭</w:t>
            </w:r>
          </w:p>
        </w:tc>
        <w:tc>
          <w:tcPr>
            <w:tcW w:type="dxa" w:w="6803"/>
            <w:shd w:val="clear" w:fill="F2F6F3"/>
          </w:tcPr>
          <w:p>
            <w:pPr>
              <w:spacing w:after="40"/>
            </w:pPr>
            <w:r>
              <w:rPr>
                <w:rFonts w:ascii="宋体" w:hAnsi="宋体" w:eastAsia="宋体"/>
                <w:b w:val="0"/>
                <w:sz w:val="21"/>
              </w:rPr>
              <w:t>把周末还给孩子，把孩子交给大山</w:t>
            </w:r>
          </w:p>
        </w:tc>
      </w:tr>
      <w:tr>
        <w:tc>
          <w:tcPr>
            <w:tcW w:type="dxa" w:w="2268"/>
          </w:tcPr>
          <w:p>
            <w:pPr>
              <w:spacing w:after="40"/>
            </w:pPr>
            <w:r>
              <w:rPr>
                <w:rFonts w:ascii="宋体" w:hAnsi="宋体" w:eastAsia="宋体"/>
                <w:b/>
                <w:sz w:val="21"/>
              </w:rPr>
              <w:t>城市情感</w:t>
            </w:r>
          </w:p>
        </w:tc>
        <w:tc>
          <w:tcPr>
            <w:tcW w:type="dxa" w:w="6803"/>
          </w:tcPr>
          <w:p>
            <w:pPr>
              <w:spacing w:after="40"/>
            </w:pPr>
            <w:r>
              <w:rPr>
                <w:rFonts w:ascii="宋体" w:hAnsi="宋体" w:eastAsia="宋体"/>
                <w:b w:val="0"/>
                <w:sz w:val="21"/>
              </w:rPr>
              <w:t>140年了，通化人还是喜欢往山上走</w:t>
            </w:r>
          </w:p>
        </w:tc>
      </w:tr>
      <w:tr>
        <w:tc>
          <w:tcPr>
            <w:tcW w:type="dxa" w:w="2268"/>
            <w:shd w:val="clear" w:fill="F2F6F3"/>
          </w:tcPr>
          <w:p>
            <w:pPr>
              <w:spacing w:after="40"/>
            </w:pPr>
            <w:r>
              <w:rPr>
                <w:rFonts w:ascii="宋体" w:hAnsi="宋体" w:eastAsia="宋体"/>
                <w:b/>
                <w:sz w:val="21"/>
              </w:rPr>
              <w:t>区域联动</w:t>
            </w:r>
          </w:p>
        </w:tc>
        <w:tc>
          <w:tcPr>
            <w:tcW w:type="dxa" w:w="6803"/>
            <w:shd w:val="clear" w:fill="F2F6F3"/>
          </w:tcPr>
          <w:p>
            <w:pPr>
              <w:spacing w:after="40"/>
            </w:pPr>
            <w:r>
              <w:rPr>
                <w:rFonts w:ascii="宋体" w:hAnsi="宋体" w:eastAsia="宋体"/>
                <w:b w:val="0"/>
                <w:sz w:val="21"/>
              </w:rPr>
              <w:t>游长白山，别忘了通化留一晚——玉皇山夜景，值得</w:t>
            </w:r>
          </w:p>
        </w:tc>
      </w:tr>
    </w:tbl>
    <w:p>
      <w:pPr>
        <w:spacing w:after="40"/>
      </w:pPr>
    </w:p>
    <w:p>
      <w:pPr>
        <w:spacing w:before="360" w:after="200"/>
        <w:keepNext/>
        <w:pBdr>
          <w:bottom w:val="single" w:sz="12" w:space="4" w:color="2E6E4E"/>
        </w:pBdr>
      </w:pPr>
      <w:r>
        <w:rPr>
          <w:rFonts w:ascii="微软雅黑" w:hAnsi="微软雅黑" w:eastAsia="微软雅黑"/>
          <w:b/>
          <w:color w:val="2E6E4E"/>
          <w:sz w:val="32"/>
        </w:rPr>
        <w:t>附　主要数据来源</w:t>
      </w:r>
    </w:p>
    <w:p>
      <w:pPr>
        <w:pStyle w:val="ListNumber"/>
        <w:spacing w:after="60"/>
      </w:pPr>
      <w:r>
        <w:rPr>
          <w:rFonts w:ascii="宋体" w:hAnsi="宋体" w:eastAsia="宋体"/>
          <w:b w:val="0"/>
          <w:sz w:val="21"/>
        </w:rPr>
        <w:t>通化市人民政府2026年政府工作报告：2025年接待游客2800万人次、旅游总花费350亿元；2026年目标3000万人次、400亿元。</w:t>
      </w:r>
    </w:p>
    <w:p>
      <w:pPr>
        <w:pStyle w:val="ListNumber"/>
        <w:spacing w:after="60"/>
      </w:pPr>
      <w:r>
        <w:rPr>
          <w:rFonts w:ascii="宋体" w:hAnsi="宋体" w:eastAsia="宋体"/>
          <w:b w:val="0"/>
          <w:sz w:val="21"/>
        </w:rPr>
        <w:t>吉林省人民政府网/中国吉林网（2026年3—4月）：2025—2026雪季通化接待国内游客1208.9万人次、出游总花费157.72亿元；全市三家滑雪场接待112.24万人次、营收1.11亿元；万峰首破百万人次、营收破亿。</w:t>
      </w:r>
    </w:p>
    <w:p>
      <w:pPr>
        <w:pStyle w:val="ListNumber"/>
        <w:spacing w:after="60"/>
      </w:pPr>
      <w:r>
        <w:rPr>
          <w:rFonts w:ascii="宋体" w:hAnsi="宋体" w:eastAsia="宋体"/>
          <w:b w:val="0"/>
          <w:sz w:val="21"/>
        </w:rPr>
        <w:t>国家铁路局、国铁集团（2025年9月—10月）：沈白高铁2025年9月28日开通，通化站日均发送3000人次、居新建站首位；首月全线运送旅客超66万人次。</w:t>
      </w:r>
    </w:p>
    <w:p>
      <w:pPr>
        <w:pStyle w:val="ListNumber"/>
        <w:spacing w:after="60"/>
      </w:pPr>
      <w:r>
        <w:rPr>
          <w:rFonts w:ascii="宋体" w:hAnsi="宋体" w:eastAsia="宋体"/>
          <w:b w:val="0"/>
          <w:sz w:val="21"/>
        </w:rPr>
        <w:t>交通运输部在线访谈（2025年12月）：G331沿边开放旅游大通道2025年9月28日全线建成通车，串联45个3A级及以上景区。</w:t>
      </w:r>
    </w:p>
    <w:p>
      <w:pPr>
        <w:pStyle w:val="ListNumber"/>
        <w:spacing w:after="60"/>
      </w:pPr>
      <w:r>
        <w:rPr>
          <w:rFonts w:ascii="宋体" w:hAnsi="宋体" w:eastAsia="宋体"/>
          <w:b w:val="0"/>
          <w:sz w:val="21"/>
        </w:rPr>
        <w:t>吉林省林业和草原局、通化机场官网、百度百科：玉皇山公园及玉皇阁历史沿革、省级文物保护单位信息。</w:t>
      </w:r>
    </w:p>
    <w:p>
      <w:pPr>
        <w:pStyle w:val="ListNumber"/>
        <w:spacing w:after="60"/>
      </w:pPr>
      <w:r>
        <w:rPr>
          <w:rFonts w:ascii="宋体" w:hAnsi="宋体" w:eastAsia="宋体"/>
          <w:b w:val="0"/>
          <w:sz w:val="21"/>
        </w:rPr>
        <w:t>吉林省文旅厅：通化森林覆盖率66.64%、夏季平均气温约22℃（“清爽吉林·22℃的夏天”）。</w:t>
      </w:r>
    </w:p>
    <w:p>
      <w:pPr>
        <w:pStyle w:val="ListNumber"/>
        <w:spacing w:after="60"/>
      </w:pPr>
      <w:r>
        <w:rPr>
          <w:rFonts w:ascii="宋体" w:hAnsi="宋体" w:eastAsia="宋体"/>
          <w:b w:val="0"/>
          <w:sz w:val="21"/>
        </w:rPr>
        <w:t>注：文中标注“示意/测算/约值”的图表数据为规划分析用估算，需在方案深化阶段以实测与贵司工作表05/06数据校核。</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