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D58FF" w14:textId="77777777" w:rsidR="003E0DA2" w:rsidRPr="0096795A" w:rsidRDefault="00000000">
      <w:pPr>
        <w:pStyle w:val="Ttulo"/>
        <w:rPr>
          <w:lang w:val="pt-BR"/>
        </w:rPr>
      </w:pPr>
      <w:r w:rsidRPr="0096795A">
        <w:rPr>
          <w:lang w:val="pt-BR"/>
        </w:rPr>
        <w:t>Colégio Horizonte</w:t>
      </w:r>
    </w:p>
    <w:p w14:paraId="7C0C1AC1" w14:textId="77777777" w:rsidR="003E0DA2" w:rsidRPr="0096795A" w:rsidRDefault="00000000">
      <w:pPr>
        <w:pStyle w:val="Subttulo"/>
        <w:rPr>
          <w:lang w:val="pt-BR"/>
        </w:rPr>
      </w:pPr>
      <w:r w:rsidRPr="0096795A">
        <w:rPr>
          <w:lang w:val="pt-BR"/>
        </w:rPr>
        <w:t>Opção 2 • Visão financeira</w:t>
      </w:r>
      <w:r w:rsidRPr="0096795A">
        <w:rPr>
          <w:lang w:val="pt-BR"/>
        </w:rPr>
        <w:br/>
        <w:t>Documentação técnica do projeto</w:t>
      </w:r>
    </w:p>
    <w:p w14:paraId="776B6282" w14:textId="77777777" w:rsidR="003E0DA2" w:rsidRPr="0096795A" w:rsidRDefault="00000000">
      <w:pPr>
        <w:pStyle w:val="Ttulo1"/>
        <w:rPr>
          <w:lang w:val="pt-BR"/>
        </w:rPr>
      </w:pPr>
      <w:r w:rsidRPr="0096795A">
        <w:rPr>
          <w:lang w:val="pt-BR"/>
        </w:rPr>
        <w:t>Sobre esta versão</w:t>
      </w:r>
    </w:p>
    <w:p w14:paraId="6DAF13EE" w14:textId="77777777" w:rsidR="003E0DA2" w:rsidRPr="0096795A" w:rsidRDefault="00000000">
      <w:pPr>
        <w:rPr>
          <w:lang w:val="pt-BR"/>
        </w:rPr>
      </w:pPr>
      <w:r w:rsidRPr="0096795A">
        <w:rPr>
          <w:lang w:val="pt-BR"/>
        </w:rPr>
        <w:t>A segunda opção do projeto Colégio Horizonte apresenta uma visão financeira e de recebimentos com maior utilização de visuais nativos do Power BI. A proposta mantém a identidade visual do projeto e explora outra forma de organizar e comunicar as informações da mesma base de dados.</w:t>
      </w:r>
    </w:p>
    <w:p w14:paraId="709C714B" w14:textId="77777777" w:rsidR="003E0DA2" w:rsidRPr="0096795A" w:rsidRDefault="00000000">
      <w:pPr>
        <w:rPr>
          <w:lang w:val="pt-BR"/>
        </w:rPr>
      </w:pPr>
      <w:r w:rsidRPr="0096795A">
        <w:rPr>
          <w:lang w:val="pt-BR"/>
        </w:rPr>
        <w:t>Os dados são fictícios, gerados em Python exclusivamente para portfólio. Esta documentação descreve a composição apresentada da segunda página e as técnicas utilizadas em sua construção.</w:t>
      </w:r>
    </w:p>
    <w:p w14:paraId="3CB33060" w14:textId="77777777" w:rsidR="003E0DA2" w:rsidRDefault="00000000">
      <w:pPr>
        <w:pStyle w:val="Ttulo1"/>
      </w:pPr>
      <w:proofErr w:type="spellStart"/>
      <w:r>
        <w:t>Tecnologias</w:t>
      </w:r>
      <w:proofErr w:type="spellEnd"/>
      <w:r>
        <w:t xml:space="preserve"> </w:t>
      </w:r>
      <w:proofErr w:type="spellStart"/>
      <w:r>
        <w:t>utilizadas</w:t>
      </w:r>
      <w:proofErr w:type="spellEnd"/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3E0DA2" w14:paraId="4B29EB2C" w14:textId="77777777">
        <w:trPr>
          <w:cantSplit/>
          <w:tblHeader/>
        </w:trPr>
        <w:tc>
          <w:tcPr>
            <w:tcW w:w="2900" w:type="dxa"/>
            <w:shd w:val="clear" w:color="auto" w:fill="F2F4F7"/>
          </w:tcPr>
          <w:p w14:paraId="41539C88" w14:textId="77777777" w:rsidR="003E0DA2" w:rsidRDefault="00000000">
            <w:pPr>
              <w:pStyle w:val="TableText"/>
            </w:pPr>
            <w:r>
              <w:rPr>
                <w:b/>
              </w:rPr>
              <w:t>Tecnologia</w:t>
            </w:r>
          </w:p>
        </w:tc>
        <w:tc>
          <w:tcPr>
            <w:tcW w:w="6460" w:type="dxa"/>
            <w:shd w:val="clear" w:color="auto" w:fill="F2F4F7"/>
          </w:tcPr>
          <w:p w14:paraId="3FA8D616" w14:textId="77777777" w:rsidR="003E0DA2" w:rsidRDefault="00000000">
            <w:pPr>
              <w:pStyle w:val="TableText"/>
            </w:pPr>
            <w:r>
              <w:rPr>
                <w:b/>
              </w:rPr>
              <w:t>Aplicação</w:t>
            </w:r>
          </w:p>
        </w:tc>
      </w:tr>
      <w:tr w:rsidR="003E0DA2" w:rsidRPr="0096795A" w14:paraId="0FC2CAA2" w14:textId="77777777">
        <w:trPr>
          <w:cantSplit/>
        </w:trPr>
        <w:tc>
          <w:tcPr>
            <w:tcW w:w="2900" w:type="dxa"/>
          </w:tcPr>
          <w:p w14:paraId="222FE761" w14:textId="77777777" w:rsidR="003E0DA2" w:rsidRDefault="00000000">
            <w:pPr>
              <w:pStyle w:val="TableText"/>
            </w:pPr>
            <w:r>
              <w:t>Python e CSV</w:t>
            </w:r>
          </w:p>
        </w:tc>
        <w:tc>
          <w:tcPr>
            <w:tcW w:w="6460" w:type="dxa"/>
          </w:tcPr>
          <w:p w14:paraId="22CC3966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Geração dos dados fictícios e armazenamento das bases do projeto.</w:t>
            </w:r>
          </w:p>
        </w:tc>
      </w:tr>
      <w:tr w:rsidR="003E0DA2" w:rsidRPr="0096795A" w14:paraId="43A1E72F" w14:textId="77777777">
        <w:trPr>
          <w:cantSplit/>
        </w:trPr>
        <w:tc>
          <w:tcPr>
            <w:tcW w:w="2900" w:type="dxa"/>
          </w:tcPr>
          <w:p w14:paraId="3EE474C1" w14:textId="77777777" w:rsidR="003E0DA2" w:rsidRDefault="00000000">
            <w:pPr>
              <w:pStyle w:val="TableText"/>
            </w:pPr>
            <w:r>
              <w:t>Power Query / M</w:t>
            </w:r>
          </w:p>
        </w:tc>
        <w:tc>
          <w:tcPr>
            <w:tcW w:w="6460" w:type="dxa"/>
          </w:tcPr>
          <w:p w14:paraId="5D5FEA07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Importação e tratamento dos dados utilizados no modelo.</w:t>
            </w:r>
          </w:p>
        </w:tc>
      </w:tr>
      <w:tr w:rsidR="003E0DA2" w:rsidRPr="0096795A" w14:paraId="11E45246" w14:textId="77777777">
        <w:trPr>
          <w:cantSplit/>
        </w:trPr>
        <w:tc>
          <w:tcPr>
            <w:tcW w:w="2900" w:type="dxa"/>
          </w:tcPr>
          <w:p w14:paraId="352ECB58" w14:textId="77777777" w:rsidR="003E0DA2" w:rsidRDefault="00000000">
            <w:pPr>
              <w:pStyle w:val="TableText"/>
            </w:pPr>
            <w:r>
              <w:t>Power BI</w:t>
            </w:r>
          </w:p>
        </w:tc>
        <w:tc>
          <w:tcPr>
            <w:tcW w:w="6460" w:type="dxa"/>
          </w:tcPr>
          <w:p w14:paraId="5F3BBD91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Construção dos gráficos, cartões e tabela da visão financeira.</w:t>
            </w:r>
          </w:p>
        </w:tc>
      </w:tr>
      <w:tr w:rsidR="003E0DA2" w:rsidRPr="0096795A" w14:paraId="7510577E" w14:textId="77777777">
        <w:trPr>
          <w:cantSplit/>
        </w:trPr>
        <w:tc>
          <w:tcPr>
            <w:tcW w:w="2900" w:type="dxa"/>
          </w:tcPr>
          <w:p w14:paraId="7F34FECC" w14:textId="77777777" w:rsidR="003E0DA2" w:rsidRDefault="00000000">
            <w:pPr>
              <w:pStyle w:val="TableText"/>
            </w:pPr>
            <w:r>
              <w:t>DAX</w:t>
            </w:r>
          </w:p>
        </w:tc>
        <w:tc>
          <w:tcPr>
            <w:tcW w:w="6460" w:type="dxa"/>
          </w:tcPr>
          <w:p w14:paraId="2F1FE13B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Cálculo dos indicadores, rótulos e conteúdo do menu lateral.</w:t>
            </w:r>
          </w:p>
        </w:tc>
      </w:tr>
      <w:tr w:rsidR="003E0DA2" w:rsidRPr="0096795A" w14:paraId="36BE9512" w14:textId="77777777">
        <w:trPr>
          <w:cantSplit/>
        </w:trPr>
        <w:tc>
          <w:tcPr>
            <w:tcW w:w="2900" w:type="dxa"/>
          </w:tcPr>
          <w:p w14:paraId="0EF96C6C" w14:textId="77777777" w:rsidR="003E0DA2" w:rsidRDefault="00000000">
            <w:pPr>
              <w:pStyle w:val="TableText"/>
            </w:pPr>
            <w:r>
              <w:t>HTML / CSS</w:t>
            </w:r>
          </w:p>
        </w:tc>
        <w:tc>
          <w:tcPr>
            <w:tcW w:w="6460" w:type="dxa"/>
          </w:tcPr>
          <w:p w14:paraId="11C1113A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Uso pontual na apresentação, com destaque para o cabeçalho e o menu lateral.</w:t>
            </w:r>
          </w:p>
        </w:tc>
      </w:tr>
    </w:tbl>
    <w:p w14:paraId="48699374" w14:textId="77777777" w:rsidR="003E0DA2" w:rsidRPr="0096795A" w:rsidRDefault="00000000">
      <w:pPr>
        <w:pStyle w:val="Ttulo1"/>
        <w:rPr>
          <w:lang w:val="pt-BR"/>
        </w:rPr>
      </w:pPr>
      <w:r w:rsidRPr="0096795A">
        <w:rPr>
          <w:lang w:val="pt-BR"/>
        </w:rPr>
        <w:t>Dados e modelagem</w:t>
      </w:r>
    </w:p>
    <w:p w14:paraId="154AA0A9" w14:textId="77777777" w:rsidR="003E0DA2" w:rsidRPr="0096795A" w:rsidRDefault="00000000">
      <w:pPr>
        <w:rPr>
          <w:lang w:val="pt-BR"/>
        </w:rPr>
      </w:pPr>
      <w:r w:rsidRPr="0096795A">
        <w:rPr>
          <w:lang w:val="pt-BR"/>
        </w:rPr>
        <w:t xml:space="preserve">A página reutiliza a base analítica do projeto. As tabelas </w:t>
      </w:r>
      <w:proofErr w:type="spellStart"/>
      <w:r w:rsidRPr="0096795A">
        <w:rPr>
          <w:lang w:val="pt-BR"/>
        </w:rPr>
        <w:t>fato_mensalidades</w:t>
      </w:r>
      <w:proofErr w:type="spellEnd"/>
      <w:r w:rsidRPr="0096795A">
        <w:rPr>
          <w:lang w:val="pt-BR"/>
        </w:rPr>
        <w:t xml:space="preserve"> e </w:t>
      </w:r>
      <w:proofErr w:type="spellStart"/>
      <w:r w:rsidRPr="0096795A">
        <w:rPr>
          <w:lang w:val="pt-BR"/>
        </w:rPr>
        <w:t>fato_despesas</w:t>
      </w:r>
      <w:proofErr w:type="spellEnd"/>
      <w:r w:rsidRPr="0096795A">
        <w:rPr>
          <w:lang w:val="pt-BR"/>
        </w:rPr>
        <w:t xml:space="preserve"> fornecem os valores financeiros; dim_alunos permite os recortes por segmento escolar; e dim_calendario organiza a evolução por competência.</w:t>
      </w:r>
    </w:p>
    <w:p w14:paraId="6B022CDD" w14:textId="77777777" w:rsidR="003E0DA2" w:rsidRPr="0096795A" w:rsidRDefault="00000000">
      <w:pPr>
        <w:rPr>
          <w:lang w:val="pt-BR"/>
        </w:rPr>
      </w:pPr>
      <w:r w:rsidRPr="0096795A">
        <w:rPr>
          <w:lang w:val="pt-BR"/>
        </w:rPr>
        <w:t>A base de mensalidades contém valores e status Pago, Em Aberto e Vencido. A base de despesas contém categorias, valores e status financeiros. Os relacionamentos e as medidas DAX dão suporte às agregações exibidas nos gráficos e na tabela.</w:t>
      </w:r>
    </w:p>
    <w:p w14:paraId="4D800056" w14:textId="77777777" w:rsidR="003E0DA2" w:rsidRDefault="00000000">
      <w:pPr>
        <w:pStyle w:val="Ttulo1"/>
        <w:pageBreakBefore/>
      </w:pPr>
      <w:proofErr w:type="spellStart"/>
      <w:r>
        <w:lastRenderedPageBreak/>
        <w:t>Composição</w:t>
      </w:r>
      <w:proofErr w:type="spellEnd"/>
      <w:r>
        <w:t xml:space="preserve"> da </w:t>
      </w:r>
      <w:proofErr w:type="spellStart"/>
      <w:r>
        <w:t>página</w:t>
      </w:r>
      <w:proofErr w:type="spellEnd"/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3E0DA2" w14:paraId="7CE9E50E" w14:textId="77777777">
        <w:trPr>
          <w:cantSplit/>
          <w:tblHeader/>
        </w:trPr>
        <w:tc>
          <w:tcPr>
            <w:tcW w:w="2900" w:type="dxa"/>
            <w:shd w:val="clear" w:color="auto" w:fill="F2F4F7"/>
          </w:tcPr>
          <w:p w14:paraId="4299CC5E" w14:textId="77777777" w:rsidR="003E0DA2" w:rsidRDefault="00000000">
            <w:pPr>
              <w:pStyle w:val="TableText"/>
            </w:pPr>
            <w:r>
              <w:rPr>
                <w:b/>
              </w:rPr>
              <w:t>Elemento</w:t>
            </w:r>
          </w:p>
        </w:tc>
        <w:tc>
          <w:tcPr>
            <w:tcW w:w="6460" w:type="dxa"/>
            <w:shd w:val="clear" w:color="auto" w:fill="F2F4F7"/>
          </w:tcPr>
          <w:p w14:paraId="214205EC" w14:textId="77777777" w:rsidR="003E0DA2" w:rsidRDefault="00000000">
            <w:pPr>
              <w:pStyle w:val="TableText"/>
            </w:pPr>
            <w:r>
              <w:rPr>
                <w:b/>
              </w:rPr>
              <w:t>Descrição</w:t>
            </w:r>
          </w:p>
        </w:tc>
      </w:tr>
      <w:tr w:rsidR="003E0DA2" w:rsidRPr="0096795A" w14:paraId="774EBE5B" w14:textId="77777777">
        <w:trPr>
          <w:cantSplit/>
        </w:trPr>
        <w:tc>
          <w:tcPr>
            <w:tcW w:w="2900" w:type="dxa"/>
          </w:tcPr>
          <w:p w14:paraId="34053E60" w14:textId="77777777" w:rsidR="003E0DA2" w:rsidRDefault="00000000">
            <w:pPr>
              <w:pStyle w:val="TableText"/>
            </w:pPr>
            <w:r>
              <w:t>Cabeçalho</w:t>
            </w:r>
          </w:p>
        </w:tc>
        <w:tc>
          <w:tcPr>
            <w:tcW w:w="6460" w:type="dxa"/>
          </w:tcPr>
          <w:p w14:paraId="4836BF1E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Identificação do Colégio Horizonte e título “Visão financeira e recebimentos”.</w:t>
            </w:r>
          </w:p>
        </w:tc>
      </w:tr>
      <w:tr w:rsidR="003E0DA2" w:rsidRPr="0096795A" w14:paraId="399B6542" w14:textId="77777777">
        <w:trPr>
          <w:cantSplit/>
        </w:trPr>
        <w:tc>
          <w:tcPr>
            <w:tcW w:w="2900" w:type="dxa"/>
          </w:tcPr>
          <w:p w14:paraId="22E9AECF" w14:textId="77777777" w:rsidR="003E0DA2" w:rsidRDefault="00000000">
            <w:pPr>
              <w:pStyle w:val="TableText"/>
            </w:pPr>
            <w:r>
              <w:t>Menu lateral</w:t>
            </w:r>
          </w:p>
        </w:tc>
        <w:tc>
          <w:tcPr>
            <w:tcW w:w="6460" w:type="dxa"/>
          </w:tcPr>
          <w:p w14:paraId="79E3F783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Faixa azul à esquerda, com ícones, nomes das visões e destaque amarelo no item selecionado.</w:t>
            </w:r>
          </w:p>
        </w:tc>
      </w:tr>
      <w:tr w:rsidR="003E0DA2" w:rsidRPr="0096795A" w14:paraId="4AB50A7A" w14:textId="77777777">
        <w:trPr>
          <w:cantSplit/>
        </w:trPr>
        <w:tc>
          <w:tcPr>
            <w:tcW w:w="2900" w:type="dxa"/>
          </w:tcPr>
          <w:p w14:paraId="19887ACF" w14:textId="77777777" w:rsidR="003E0DA2" w:rsidRDefault="00000000">
            <w:pPr>
              <w:pStyle w:val="TableText"/>
            </w:pPr>
            <w:proofErr w:type="spellStart"/>
            <w:r>
              <w:t>Cartões</w:t>
            </w:r>
            <w:proofErr w:type="spellEnd"/>
            <w:r>
              <w:t xml:space="preserve"> </w:t>
            </w:r>
            <w:proofErr w:type="spellStart"/>
            <w:r>
              <w:t>financeiros</w:t>
            </w:r>
            <w:proofErr w:type="spellEnd"/>
          </w:p>
        </w:tc>
        <w:tc>
          <w:tcPr>
            <w:tcW w:w="6460" w:type="dxa"/>
          </w:tcPr>
          <w:p w14:paraId="23DC04E8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Resumo dos valores de mensalidades e despesas no contexto da análise.</w:t>
            </w:r>
          </w:p>
        </w:tc>
      </w:tr>
      <w:tr w:rsidR="003E0DA2" w:rsidRPr="0096795A" w14:paraId="5503D986" w14:textId="77777777">
        <w:trPr>
          <w:cantSplit/>
        </w:trPr>
        <w:tc>
          <w:tcPr>
            <w:tcW w:w="2900" w:type="dxa"/>
          </w:tcPr>
          <w:p w14:paraId="1E5FCE21" w14:textId="77777777" w:rsidR="003E0DA2" w:rsidRDefault="00000000">
            <w:pPr>
              <w:pStyle w:val="TableText"/>
            </w:pPr>
            <w:proofErr w:type="spellStart"/>
            <w:r>
              <w:t>Evolução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</w:p>
        </w:tc>
        <w:tc>
          <w:tcPr>
            <w:tcW w:w="6460" w:type="dxa"/>
          </w:tcPr>
          <w:p w14:paraId="5C73795D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Gráfico combinado de colunas e linha para comparar receita prevista, receita recebida e despesas por mês.</w:t>
            </w:r>
          </w:p>
        </w:tc>
      </w:tr>
      <w:tr w:rsidR="003E0DA2" w:rsidRPr="0096795A" w14:paraId="2A116D85" w14:textId="77777777">
        <w:trPr>
          <w:cantSplit/>
        </w:trPr>
        <w:tc>
          <w:tcPr>
            <w:tcW w:w="2900" w:type="dxa"/>
          </w:tcPr>
          <w:p w14:paraId="0FBCC35F" w14:textId="77777777" w:rsidR="003E0DA2" w:rsidRDefault="00000000">
            <w:pPr>
              <w:pStyle w:val="TableText"/>
            </w:pPr>
            <w:proofErr w:type="spellStart"/>
            <w:r>
              <w:t>Participação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receita</w:t>
            </w:r>
            <w:proofErr w:type="spellEnd"/>
            <w:r>
              <w:t xml:space="preserve"> </w:t>
            </w:r>
            <w:proofErr w:type="spellStart"/>
            <w:r>
              <w:t>prevista</w:t>
            </w:r>
            <w:proofErr w:type="spellEnd"/>
          </w:p>
        </w:tc>
        <w:tc>
          <w:tcPr>
            <w:tcW w:w="6460" w:type="dxa"/>
          </w:tcPr>
          <w:p w14:paraId="579FD73F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Gráfico de barras horizontais para comparar valores e participação dos segmentos escolares.</w:t>
            </w:r>
          </w:p>
        </w:tc>
      </w:tr>
      <w:tr w:rsidR="003E0DA2" w:rsidRPr="0096795A" w14:paraId="274C1D66" w14:textId="77777777">
        <w:trPr>
          <w:cantSplit/>
        </w:trPr>
        <w:tc>
          <w:tcPr>
            <w:tcW w:w="2900" w:type="dxa"/>
          </w:tcPr>
          <w:p w14:paraId="79A354CA" w14:textId="77777777" w:rsidR="003E0DA2" w:rsidRDefault="00000000">
            <w:pPr>
              <w:pStyle w:val="TableText"/>
            </w:pPr>
            <w:r>
              <w:t xml:space="preserve">Tabela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segmento</w:t>
            </w:r>
            <w:proofErr w:type="spellEnd"/>
          </w:p>
        </w:tc>
        <w:tc>
          <w:tcPr>
            <w:tcW w:w="6460" w:type="dxa"/>
          </w:tcPr>
          <w:p w14:paraId="09F8C28C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Detalhamento de receita prevista, receita recebida e receita em aberto, com total consolidado.</w:t>
            </w:r>
          </w:p>
        </w:tc>
      </w:tr>
      <w:tr w:rsidR="003E0DA2" w:rsidRPr="0096795A" w14:paraId="7F8977AC" w14:textId="77777777">
        <w:trPr>
          <w:cantSplit/>
        </w:trPr>
        <w:tc>
          <w:tcPr>
            <w:tcW w:w="2900" w:type="dxa"/>
          </w:tcPr>
          <w:p w14:paraId="2E108FCC" w14:textId="77777777" w:rsidR="003E0DA2" w:rsidRDefault="00000000">
            <w:pPr>
              <w:pStyle w:val="TableText"/>
            </w:pPr>
            <w:proofErr w:type="spellStart"/>
            <w:r>
              <w:t>Composição</w:t>
            </w:r>
            <w:proofErr w:type="spellEnd"/>
            <w:r>
              <w:t xml:space="preserve"> das </w:t>
            </w:r>
            <w:proofErr w:type="spellStart"/>
            <w:r>
              <w:t>mensalidades</w:t>
            </w:r>
            <w:proofErr w:type="spellEnd"/>
          </w:p>
        </w:tc>
        <w:tc>
          <w:tcPr>
            <w:tcW w:w="6460" w:type="dxa"/>
          </w:tcPr>
          <w:p w14:paraId="4C69525C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Gráfico de barras empilhadas para apresentar mensalidades pagas, em aberto e vencidas por segmento.</w:t>
            </w:r>
          </w:p>
        </w:tc>
      </w:tr>
    </w:tbl>
    <w:p w14:paraId="57C10309" w14:textId="77777777" w:rsidR="003E0DA2" w:rsidRDefault="00000000">
      <w:pPr>
        <w:pStyle w:val="Ttulo1"/>
      </w:pPr>
      <w:proofErr w:type="spellStart"/>
      <w:r>
        <w:t>Indicadores</w:t>
      </w:r>
      <w:proofErr w:type="spellEnd"/>
      <w:r>
        <w:t xml:space="preserve"> </w:t>
      </w:r>
      <w:proofErr w:type="spellStart"/>
      <w:r>
        <w:t>utilizados</w:t>
      </w:r>
      <w:proofErr w:type="spellEnd"/>
    </w:p>
    <w:tbl>
      <w:tblPr>
        <w:tblW w:w="9360" w:type="dxa"/>
        <w:tblInd w:w="120" w:type="dxa"/>
        <w:tblBorders>
          <w:top w:val="single" w:sz="4" w:space="0" w:color="D6DFE8"/>
          <w:left w:val="single" w:sz="4" w:space="0" w:color="D6DFE8"/>
          <w:bottom w:val="single" w:sz="4" w:space="0" w:color="D6DFE8"/>
          <w:right w:val="single" w:sz="4" w:space="0" w:color="D6DFE8"/>
          <w:insideH w:val="single" w:sz="4" w:space="0" w:color="D6DFE8"/>
          <w:insideV w:val="single" w:sz="4" w:space="0" w:color="D6DFE8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3E0DA2" w14:paraId="23F7D195" w14:textId="77777777">
        <w:trPr>
          <w:cantSplit/>
          <w:tblHeader/>
        </w:trPr>
        <w:tc>
          <w:tcPr>
            <w:tcW w:w="2900" w:type="dxa"/>
            <w:shd w:val="clear" w:color="auto" w:fill="F2F4F7"/>
          </w:tcPr>
          <w:p w14:paraId="229E4C5C" w14:textId="77777777" w:rsidR="003E0DA2" w:rsidRDefault="00000000">
            <w:pPr>
              <w:pStyle w:val="TableText"/>
            </w:pPr>
            <w:r>
              <w:rPr>
                <w:b/>
              </w:rPr>
              <w:t>Indicador</w:t>
            </w:r>
          </w:p>
        </w:tc>
        <w:tc>
          <w:tcPr>
            <w:tcW w:w="6460" w:type="dxa"/>
            <w:shd w:val="clear" w:color="auto" w:fill="F2F4F7"/>
          </w:tcPr>
          <w:p w14:paraId="2DE421F7" w14:textId="77777777" w:rsidR="003E0DA2" w:rsidRDefault="00000000">
            <w:pPr>
              <w:pStyle w:val="TableText"/>
            </w:pPr>
            <w:r>
              <w:rPr>
                <w:b/>
              </w:rPr>
              <w:t>Regra de cálculo</w:t>
            </w:r>
          </w:p>
        </w:tc>
      </w:tr>
      <w:tr w:rsidR="003E0DA2" w:rsidRPr="0096795A" w14:paraId="1F56F832" w14:textId="77777777">
        <w:trPr>
          <w:cantSplit/>
        </w:trPr>
        <w:tc>
          <w:tcPr>
            <w:tcW w:w="2900" w:type="dxa"/>
          </w:tcPr>
          <w:p w14:paraId="752FF43A" w14:textId="77777777" w:rsidR="003E0DA2" w:rsidRDefault="00000000">
            <w:pPr>
              <w:pStyle w:val="TableText"/>
            </w:pPr>
            <w:r>
              <w:t>Receita prevista</w:t>
            </w:r>
          </w:p>
        </w:tc>
        <w:tc>
          <w:tcPr>
            <w:tcW w:w="6460" w:type="dxa"/>
          </w:tcPr>
          <w:p w14:paraId="4BB950A0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Soma dos valores das mensalidades.</w:t>
            </w:r>
          </w:p>
        </w:tc>
      </w:tr>
      <w:tr w:rsidR="003E0DA2" w:rsidRPr="0096795A" w14:paraId="480A3E2C" w14:textId="77777777">
        <w:trPr>
          <w:cantSplit/>
        </w:trPr>
        <w:tc>
          <w:tcPr>
            <w:tcW w:w="2900" w:type="dxa"/>
          </w:tcPr>
          <w:p w14:paraId="667C697B" w14:textId="77777777" w:rsidR="003E0DA2" w:rsidRDefault="00000000">
            <w:pPr>
              <w:pStyle w:val="TableText"/>
            </w:pPr>
            <w:proofErr w:type="spellStart"/>
            <w:r>
              <w:t>Receita</w:t>
            </w:r>
            <w:proofErr w:type="spellEnd"/>
            <w:r>
              <w:t xml:space="preserve"> </w:t>
            </w:r>
            <w:proofErr w:type="spellStart"/>
            <w:r>
              <w:t>recebida</w:t>
            </w:r>
            <w:proofErr w:type="spellEnd"/>
          </w:p>
        </w:tc>
        <w:tc>
          <w:tcPr>
            <w:tcW w:w="6460" w:type="dxa"/>
          </w:tcPr>
          <w:p w14:paraId="4DE79349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Soma das mensalidades com status Pago.</w:t>
            </w:r>
          </w:p>
        </w:tc>
      </w:tr>
      <w:tr w:rsidR="003E0DA2" w:rsidRPr="0096795A" w14:paraId="67BDA511" w14:textId="77777777">
        <w:trPr>
          <w:cantSplit/>
        </w:trPr>
        <w:tc>
          <w:tcPr>
            <w:tcW w:w="2900" w:type="dxa"/>
          </w:tcPr>
          <w:p w14:paraId="4BFFF1FB" w14:textId="77777777" w:rsidR="003E0DA2" w:rsidRDefault="00000000">
            <w:pPr>
              <w:pStyle w:val="TableText"/>
            </w:pPr>
            <w:proofErr w:type="spellStart"/>
            <w:r>
              <w:t>Receita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aberto</w:t>
            </w:r>
            <w:proofErr w:type="spellEnd"/>
          </w:p>
        </w:tc>
        <w:tc>
          <w:tcPr>
            <w:tcW w:w="6460" w:type="dxa"/>
          </w:tcPr>
          <w:p w14:paraId="34F2F56A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Soma das mensalidades com status Em Aberto.</w:t>
            </w:r>
          </w:p>
        </w:tc>
      </w:tr>
      <w:tr w:rsidR="003E0DA2" w:rsidRPr="0096795A" w14:paraId="2894F4B8" w14:textId="77777777">
        <w:trPr>
          <w:cantSplit/>
        </w:trPr>
        <w:tc>
          <w:tcPr>
            <w:tcW w:w="2900" w:type="dxa"/>
          </w:tcPr>
          <w:p w14:paraId="71727AE7" w14:textId="77777777" w:rsidR="003E0DA2" w:rsidRDefault="00000000">
            <w:pPr>
              <w:pStyle w:val="TableText"/>
            </w:pPr>
            <w:r>
              <w:t xml:space="preserve">Mensalidades </w:t>
            </w:r>
            <w:proofErr w:type="spellStart"/>
            <w:r>
              <w:t>vencidas</w:t>
            </w:r>
            <w:proofErr w:type="spellEnd"/>
          </w:p>
        </w:tc>
        <w:tc>
          <w:tcPr>
            <w:tcW w:w="6460" w:type="dxa"/>
          </w:tcPr>
          <w:p w14:paraId="4FE1E82D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Soma das mensalidades com status Vencido.</w:t>
            </w:r>
          </w:p>
        </w:tc>
      </w:tr>
      <w:tr w:rsidR="003E0DA2" w:rsidRPr="0096795A" w14:paraId="7F78F42B" w14:textId="77777777">
        <w:trPr>
          <w:cantSplit/>
        </w:trPr>
        <w:tc>
          <w:tcPr>
            <w:tcW w:w="2900" w:type="dxa"/>
          </w:tcPr>
          <w:p w14:paraId="757CFFAC" w14:textId="77777777" w:rsidR="003E0DA2" w:rsidRDefault="00000000">
            <w:pPr>
              <w:pStyle w:val="TableText"/>
            </w:pPr>
            <w:r>
              <w:t xml:space="preserve">Despesas </w:t>
            </w:r>
            <w:proofErr w:type="spellStart"/>
            <w:r>
              <w:t>totais</w:t>
            </w:r>
            <w:proofErr w:type="spellEnd"/>
          </w:p>
        </w:tc>
        <w:tc>
          <w:tcPr>
            <w:tcW w:w="6460" w:type="dxa"/>
          </w:tcPr>
          <w:p w14:paraId="5769589A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Soma das despesas pagas e em aberto.</w:t>
            </w:r>
          </w:p>
        </w:tc>
      </w:tr>
      <w:tr w:rsidR="003E0DA2" w:rsidRPr="0096795A" w14:paraId="10FBA734" w14:textId="77777777">
        <w:trPr>
          <w:cantSplit/>
        </w:trPr>
        <w:tc>
          <w:tcPr>
            <w:tcW w:w="2900" w:type="dxa"/>
          </w:tcPr>
          <w:p w14:paraId="5E3C08DC" w14:textId="77777777" w:rsidR="003E0DA2" w:rsidRDefault="00000000">
            <w:pPr>
              <w:pStyle w:val="TableText"/>
            </w:pPr>
            <w:proofErr w:type="spellStart"/>
            <w:r>
              <w:t>Participação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segmento</w:t>
            </w:r>
            <w:proofErr w:type="spellEnd"/>
          </w:p>
        </w:tc>
        <w:tc>
          <w:tcPr>
            <w:tcW w:w="6460" w:type="dxa"/>
          </w:tcPr>
          <w:p w14:paraId="402CC7D9" w14:textId="77777777" w:rsidR="003E0DA2" w:rsidRPr="0096795A" w:rsidRDefault="00000000">
            <w:pPr>
              <w:pStyle w:val="TableText"/>
              <w:rPr>
                <w:lang w:val="pt-BR"/>
              </w:rPr>
            </w:pPr>
            <w:r w:rsidRPr="0096795A">
              <w:rPr>
                <w:lang w:val="pt-BR"/>
              </w:rPr>
              <w:t>Receita prevista do segmento em relação ao total dos segmentos no contexto selecionado.</w:t>
            </w:r>
          </w:p>
        </w:tc>
      </w:tr>
    </w:tbl>
    <w:p w14:paraId="214A216D" w14:textId="77777777" w:rsidR="003E0DA2" w:rsidRPr="0096795A" w:rsidRDefault="00000000">
      <w:pPr>
        <w:pStyle w:val="Ttulo1"/>
        <w:pageBreakBefore/>
        <w:rPr>
          <w:lang w:val="pt-BR"/>
        </w:rPr>
      </w:pPr>
      <w:r w:rsidRPr="0096795A">
        <w:rPr>
          <w:lang w:val="pt-BR"/>
        </w:rPr>
        <w:lastRenderedPageBreak/>
        <w:t>Implementação visual</w:t>
      </w:r>
    </w:p>
    <w:p w14:paraId="33F11A88" w14:textId="77777777" w:rsidR="003E0DA2" w:rsidRPr="0096795A" w:rsidRDefault="00000000">
      <w:pPr>
        <w:rPr>
          <w:lang w:val="pt-BR"/>
        </w:rPr>
      </w:pPr>
      <w:r w:rsidRPr="0096795A">
        <w:rPr>
          <w:lang w:val="pt-BR"/>
        </w:rPr>
        <w:t>Os gráficos financeiros desta opção utilizam recursos nativos do Power BI. Foram trabalhados títulos, subtítulos, legendas, rótulos monetários e percentuais para facilitar a leitura e a comparação dos dados. As dicas de ferramenta complementam a consulta de valores ao passar o mouse.</w:t>
      </w:r>
    </w:p>
    <w:p w14:paraId="43939545" w14:textId="77777777" w:rsidR="003E0DA2" w:rsidRPr="0096795A" w:rsidRDefault="00000000">
      <w:pPr>
        <w:rPr>
          <w:lang w:val="pt-BR"/>
        </w:rPr>
      </w:pPr>
      <w:r w:rsidRPr="0096795A">
        <w:rPr>
          <w:lang w:val="pt-BR"/>
        </w:rPr>
        <w:t>A composição das mensalidades utiliza cores distintas para identificar cada status: azul para pagas, amarelo para em aberto e azul-escuro para vencidas. O gráfico de participação organiza os segmentos em barras horizontais, enquanto a tabela apresenta os valores detalhados.</w:t>
      </w:r>
    </w:p>
    <w:p w14:paraId="0FD244F2" w14:textId="77777777" w:rsidR="003E0DA2" w:rsidRPr="0096795A" w:rsidRDefault="00000000">
      <w:pPr>
        <w:pStyle w:val="Ttulo1"/>
        <w:rPr>
          <w:lang w:val="pt-BR"/>
        </w:rPr>
      </w:pPr>
      <w:r w:rsidRPr="0096795A">
        <w:rPr>
          <w:lang w:val="pt-BR"/>
        </w:rPr>
        <w:t>Uso pontual de HTML</w:t>
      </w:r>
    </w:p>
    <w:p w14:paraId="10ABB954" w14:textId="77777777" w:rsidR="003E0DA2" w:rsidRPr="0096795A" w:rsidRDefault="00000000">
      <w:pPr>
        <w:rPr>
          <w:lang w:val="pt-BR"/>
        </w:rPr>
      </w:pPr>
      <w:r w:rsidRPr="0096795A">
        <w:rPr>
          <w:lang w:val="pt-BR"/>
        </w:rPr>
        <w:t>O HTML foi concentrado em elementos de apresentação. O menu lateral foi construído por uma medida DAX que monta o conteúdo HTML/CSS, utilizando UNION e ROW para definir os itens e CONCATENATEX para gerar sua apresentação.</w:t>
      </w:r>
    </w:p>
    <w:p w14:paraId="26F194F2" w14:textId="77777777" w:rsidR="003E0DA2" w:rsidRPr="0096795A" w:rsidRDefault="00000000">
      <w:pPr>
        <w:rPr>
          <w:lang w:val="pt-BR"/>
        </w:rPr>
      </w:pPr>
      <w:r w:rsidRPr="0096795A">
        <w:rPr>
          <w:lang w:val="pt-BR"/>
        </w:rPr>
        <w:t xml:space="preserve">A medida permite definir a altura do menu pela variável </w:t>
      </w:r>
      <w:proofErr w:type="spellStart"/>
      <w:r w:rsidRPr="0096795A">
        <w:rPr>
          <w:lang w:val="pt-BR"/>
        </w:rPr>
        <w:t>AlturaMenu</w:t>
      </w:r>
      <w:proofErr w:type="spellEnd"/>
      <w:r w:rsidRPr="0096795A">
        <w:rPr>
          <w:lang w:val="pt-BR"/>
        </w:rPr>
        <w:t xml:space="preserve"> e destacar um item pela variável </w:t>
      </w:r>
      <w:proofErr w:type="spellStart"/>
      <w:r w:rsidRPr="0096795A">
        <w:rPr>
          <w:lang w:val="pt-BR"/>
        </w:rPr>
        <w:t>PaginaAtual</w:t>
      </w:r>
      <w:proofErr w:type="spellEnd"/>
      <w:r w:rsidRPr="0096795A">
        <w:rPr>
          <w:lang w:val="pt-BR"/>
        </w:rPr>
        <w:t>. A lateral utiliza fundo azul-escuro, textos claros e destaque amarelo. A aparência do menu é produzida pelo HTML; ações de navegação entre páginas são configuradas separadamente em botões nativos do Power BI.</w:t>
      </w:r>
    </w:p>
    <w:p w14:paraId="1CEBE20E" w14:textId="77777777" w:rsidR="003E0DA2" w:rsidRPr="0096795A" w:rsidRDefault="00000000">
      <w:pPr>
        <w:pStyle w:val="Ttulo1"/>
        <w:rPr>
          <w:lang w:val="pt-BR"/>
        </w:rPr>
      </w:pPr>
      <w:r w:rsidRPr="0096795A">
        <w:rPr>
          <w:lang w:val="pt-BR"/>
        </w:rPr>
        <w:t>Identidade visual</w:t>
      </w:r>
    </w:p>
    <w:p w14:paraId="204BFA45" w14:textId="77777777" w:rsidR="003E0DA2" w:rsidRPr="0096795A" w:rsidRDefault="00000000">
      <w:pPr>
        <w:rPr>
          <w:lang w:val="pt-BR"/>
        </w:rPr>
      </w:pPr>
      <w:r w:rsidRPr="0096795A">
        <w:rPr>
          <w:lang w:val="pt-BR"/>
        </w:rPr>
        <w:t>A página mantém as cores do projeto: azul principal #102D50, azul de receita #2C6CB0 e amarelo de destaque #F2C94C. O fundo claro da área de análise cria contraste com a lateral e o cabeçalho, preservando a unidade visual entre as opções do portfólio.</w:t>
      </w:r>
    </w:p>
    <w:p w14:paraId="1DCCF1F9" w14:textId="77777777" w:rsidR="003E0DA2" w:rsidRPr="0096795A" w:rsidRDefault="00000000">
      <w:pPr>
        <w:pStyle w:val="Ttulo1"/>
        <w:rPr>
          <w:lang w:val="pt-BR"/>
        </w:rPr>
      </w:pPr>
      <w:r w:rsidRPr="0096795A">
        <w:rPr>
          <w:lang w:val="pt-BR"/>
        </w:rPr>
        <w:t>Como utilizar</w:t>
      </w:r>
    </w:p>
    <w:p w14:paraId="5A6BAD2E" w14:textId="77777777" w:rsidR="003E0DA2" w:rsidRPr="0096795A" w:rsidRDefault="00000000">
      <w:pPr>
        <w:rPr>
          <w:lang w:val="pt-BR"/>
        </w:rPr>
      </w:pPr>
      <w:r w:rsidRPr="0096795A">
        <w:rPr>
          <w:lang w:val="pt-BR"/>
        </w:rPr>
        <w:t>Abra o PBIX no Power BI Desktop e acesse a página correspondente à segunda opção. Para atualizar os dados, ajuste os caminhos dos CSVs tratados no Power Query. Consulte a evolução mensal, compare os segmentos e utilize as dicas de ferramenta para visualizar os valores.</w:t>
      </w:r>
    </w:p>
    <w:p w14:paraId="6FDFA1BD" w14:textId="77777777" w:rsidR="003E0DA2" w:rsidRPr="0096795A" w:rsidRDefault="00000000">
      <w:pPr>
        <w:rPr>
          <w:lang w:val="pt-BR"/>
        </w:rPr>
      </w:pPr>
      <w:r w:rsidRPr="0096795A">
        <w:rPr>
          <w:lang w:val="pt-BR"/>
        </w:rPr>
        <w:t>A leitura financeira mensal utiliza a competência. Os valores de despesas representam a escola como um todo, sem rateio por segmento.</w:t>
      </w:r>
    </w:p>
    <w:p w14:paraId="714CBC4E" w14:textId="77777777" w:rsidR="003E0DA2" w:rsidRPr="0096795A" w:rsidRDefault="00000000">
      <w:pPr>
        <w:pStyle w:val="Ttulo1"/>
        <w:rPr>
          <w:lang w:val="pt-BR"/>
        </w:rPr>
      </w:pPr>
      <w:r w:rsidRPr="0096795A">
        <w:rPr>
          <w:lang w:val="pt-BR"/>
        </w:rPr>
        <w:t>Autoria</w:t>
      </w:r>
    </w:p>
    <w:p w14:paraId="27E0E4DD" w14:textId="77777777" w:rsidR="003E0DA2" w:rsidRPr="0096795A" w:rsidRDefault="00000000">
      <w:pPr>
        <w:rPr>
          <w:lang w:val="pt-BR"/>
        </w:rPr>
      </w:pPr>
      <w:r w:rsidRPr="0096795A">
        <w:rPr>
          <w:lang w:val="pt-BR"/>
        </w:rPr>
        <w:t>Priscila Cavalcante | Cavalcante Data</w:t>
      </w:r>
      <w:r w:rsidRPr="0096795A">
        <w:rPr>
          <w:lang w:val="pt-BR"/>
        </w:rPr>
        <w:br/>
        <w:t>Projeto demonstrativo de portfólio com dados inteiramente fictícios.</w:t>
      </w:r>
    </w:p>
    <w:sectPr w:rsidR="003E0DA2" w:rsidRPr="0096795A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F77F8" w14:textId="77777777" w:rsidR="00484E4B" w:rsidRDefault="00484E4B">
      <w:pPr>
        <w:spacing w:after="0" w:line="240" w:lineRule="auto"/>
      </w:pPr>
      <w:r>
        <w:separator/>
      </w:r>
    </w:p>
  </w:endnote>
  <w:endnote w:type="continuationSeparator" w:id="0">
    <w:p w14:paraId="2CAD89EC" w14:textId="77777777" w:rsidR="00484E4B" w:rsidRDefault="00484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40950" w14:textId="77777777" w:rsidR="003E0DA2" w:rsidRDefault="00000000">
    <w:pPr>
      <w:pStyle w:val="Furniture"/>
      <w:jc w:val="right"/>
    </w:pPr>
    <w:proofErr w:type="spellStart"/>
    <w:r>
      <w:t>Documentação</w:t>
    </w:r>
    <w:proofErr w:type="spellEnd"/>
    <w:r>
      <w:t xml:space="preserve"> do </w:t>
    </w:r>
    <w:proofErr w:type="spellStart"/>
    <w:r>
      <w:t>projeto</w:t>
    </w:r>
    <w:proofErr w:type="spellEnd"/>
    <w:r>
      <w:t xml:space="preserve"> • </w:t>
    </w:r>
    <w:r>
      <w:fldChar w:fldCharType="begin"/>
    </w:r>
    <w:r>
      <w:instrText>PAGE</w:instrText>
    </w:r>
    <w:r>
      <w:fldChar w:fldCharType="separate"/>
    </w:r>
    <w:r w:rsidR="0096795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79D5A" w14:textId="77777777" w:rsidR="00484E4B" w:rsidRDefault="00484E4B">
      <w:pPr>
        <w:spacing w:after="0" w:line="240" w:lineRule="auto"/>
      </w:pPr>
      <w:r>
        <w:separator/>
      </w:r>
    </w:p>
  </w:footnote>
  <w:footnote w:type="continuationSeparator" w:id="0">
    <w:p w14:paraId="0058B82E" w14:textId="77777777" w:rsidR="00484E4B" w:rsidRDefault="00484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8FB6" w14:textId="1F03EA18" w:rsidR="003E0DA2" w:rsidRPr="0096795A" w:rsidRDefault="0096795A">
    <w:pPr>
      <w:pStyle w:val="Furniture"/>
      <w:rPr>
        <w:lang w:val="pt-BR"/>
      </w:rPr>
    </w:pPr>
    <w:r>
      <w:rPr>
        <w:noProof/>
      </w:rPr>
      <w:drawing>
        <wp:inline distT="0" distB="0" distL="0" distR="0" wp14:anchorId="429BA2E5" wp14:editId="2FBDEB95">
          <wp:extent cx="1043260" cy="781050"/>
          <wp:effectExtent l="0" t="0" r="5080" b="0"/>
          <wp:docPr id="52025406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254062" name="Imagem 5202540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306" cy="8005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6795A">
      <w:rPr>
        <w:lang w:val="pt-BR"/>
      </w:rPr>
      <w:t xml:space="preserve"> </w:t>
    </w:r>
    <w:r w:rsidRPr="00340711">
      <w:rPr>
        <w:lang w:val="pt-BR"/>
      </w:rPr>
      <w:t>Projeto com Dados fictícios Criado em Pyt</w:t>
    </w:r>
    <w:r>
      <w:rPr>
        <w:lang w:val="pt-BR"/>
      </w:rPr>
      <w:t xml:space="preserve">hon </w:t>
    </w:r>
    <w:r w:rsidRPr="00340711">
      <w:rPr>
        <w:lang w:val="pt-BR"/>
      </w:rPr>
      <w:t>| COLÉGIO HORIZONTE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625637">
    <w:abstractNumId w:val="8"/>
  </w:num>
  <w:num w:numId="2" w16cid:durableId="903679517">
    <w:abstractNumId w:val="6"/>
  </w:num>
  <w:num w:numId="3" w16cid:durableId="411197816">
    <w:abstractNumId w:val="5"/>
  </w:num>
  <w:num w:numId="4" w16cid:durableId="496728647">
    <w:abstractNumId w:val="4"/>
  </w:num>
  <w:num w:numId="5" w16cid:durableId="1115445737">
    <w:abstractNumId w:val="7"/>
  </w:num>
  <w:num w:numId="6" w16cid:durableId="797453042">
    <w:abstractNumId w:val="3"/>
  </w:num>
  <w:num w:numId="7" w16cid:durableId="322199398">
    <w:abstractNumId w:val="2"/>
  </w:num>
  <w:num w:numId="8" w16cid:durableId="243151771">
    <w:abstractNumId w:val="1"/>
  </w:num>
  <w:num w:numId="9" w16cid:durableId="207107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CFA"/>
    <w:rsid w:val="0015074B"/>
    <w:rsid w:val="0029639D"/>
    <w:rsid w:val="00326F90"/>
    <w:rsid w:val="003E0DA2"/>
    <w:rsid w:val="00484E4B"/>
    <w:rsid w:val="009679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F320F6"/>
  <w14:defaultImageDpi w14:val="300"/>
  <w15:docId w15:val="{08207B8C-E1FD-471E-B1F3-E56D44E0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44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160"/>
      <w:contextualSpacing/>
    </w:pPr>
    <w:rPr>
      <w:rFonts w:asciiTheme="majorHAnsi" w:eastAsiaTheme="majorEastAsia" w:hAnsiTheme="majorHAnsi" w:cstheme="majorBidi"/>
      <w:color w:val="102D50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2657A"/>
      <w:spacing w:val="1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80" w:line="252" w:lineRule="auto"/>
    </w:pPr>
    <w:rPr>
      <w:rFonts w:ascii="Calibri" w:hAnsi="Calibri"/>
      <w:sz w:val="18"/>
    </w:rPr>
  </w:style>
  <w:style w:type="paragraph" w:customStyle="1" w:styleId="SourceNote">
    <w:name w:val="SourceNote"/>
    <w:pPr>
      <w:spacing w:before="80" w:after="80" w:line="252" w:lineRule="auto"/>
    </w:pPr>
    <w:rPr>
      <w:rFonts w:ascii="Calibri" w:hAnsi="Calibri"/>
      <w:sz w:val="18"/>
    </w:rPr>
  </w:style>
  <w:style w:type="paragraph" w:customStyle="1" w:styleId="Furniture">
    <w:name w:val="Furniture"/>
    <w:pPr>
      <w:spacing w:after="80" w:line="252" w:lineRule="auto"/>
    </w:pPr>
    <w:rPr>
      <w:rFonts w:ascii="Calibri" w:hAnsi="Calibr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736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Priscila Guilherme Paiva Cavalcante</cp:lastModifiedBy>
  <cp:revision>2</cp:revision>
  <dcterms:created xsi:type="dcterms:W3CDTF">2026-09-03T02:39:00Z</dcterms:created>
  <dcterms:modified xsi:type="dcterms:W3CDTF">2026-09-03T02:39:00Z</dcterms:modified>
  <cp:category/>
</cp:coreProperties>
</file>