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Production-Ready Software Engineering: A Quality, UX, and Validation Framework for Agentic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Reliability and Functional Standards in Production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Autonomous agentic development platforms such as Google Antigravity allow non-specialist builders to assemble complex, multi-tier software applications through high-level conversational intent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rapid syntactic generation frequently masks structural liabilities in software architecture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Production software differs fundamentally from an experimental prototype: while a prototype merely demonstrates that a sequence of operations can succeed under ideal conditions, production software guarantees predictable system behavior when environmental conditions degrade, user inputs deviate, and infrastructure components fail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and Architecture Surface of Agent-Generated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Autonomous agentic code generation inherently optimizes for the immediate resolution of functional prompts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underlying large language models are trained on vast corpora of public code, they frequently replicate illustrative tutorial patterns that deliberately omit operational hardening to preserve brevity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Empirical studies indicate that while modern coding agents produce syntactically valid code that compiles over 90% of the time, approximately 45% of that code introduces classical security flaws cataloged within the OWASP Top 10</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primary failure mode in agentic development is client-side security conflation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When prompted to integrate persistence or third-party APIs, agents routinely place database connection strings, administrative service role keys, and private credentials directly within client-side browser files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agent treats these credentials as configuration strings, oblivious to the fact that any secret shipped within client bundles is fully exposed to public inspection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Concurrently, authorization logic is often implemented entirely on the front end, allowing unauthorized users to bypass permission gates by inspecting network calls or mutating local state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Input boundaries represent a secondary architectural vulnerability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Agents fulfill basic prompt instructions—such as constructing an intake form—by binding raw inputs directly to execution sinks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Without explicit defensive mandates, the generated code omits string sanitization, payload limits, and structural validation, leaving endpoints vulnerable to Cross-Site Scripting (XSS), SQL injection, and buffer exhaustion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models can introduce unverified or hallucinated third-party dependencies, exposing the application to typosquatting and supply-chain vulnerabilities ("slopsquatting")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Vulnerability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Manifestation in Agentic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Production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Remedy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Exposed Secret Credentials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Hardcoded API keys, private tokens, or database service roles in client files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Compromise of third-party platforms, data breaches, and unmetered billing exploitation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Isolate secrets in server environment variables; proxy third-party requests through protected backend endpoints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Client-Side Authorization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logic executed solely within browser components or UI rendering guards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Complete bypass of access control; client-side state manipulation exposes restricted features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 authorization tokens and row-level security (RLS) directly on the database and API layer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Unsanitized Input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String interpolation into database queries, DOM elements, or shell parameters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injection, stored and reflected XSS, and arbitrary script execution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 schema validation libraries (e.g., Zod) and parameterized database queries across all input handlers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Permissive Cross-Origin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Blanket wildcard CORS configurations (Access-Control-Allow-Origin: *) added to bypass local network blocks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Cross-site exploitation, credential theft, and unauthorized resource interaction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Restrict CORS headers to an explicit allowlist of validated origin domains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Hallucinated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Importing unverified, nonexistent, or malicious public packages suggested by LLMs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Supply-chain compromise, remote code execution, and dependency instability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Lock dependency versions, audit package registry signatures, and scan manifests for known vulnerabilities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Management, Data Integrity, and Idempotency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 systems must preserve structural integrity across device interruptions, fluctuating network connections, and asynchronous operational cycles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As applications transition from single-user local development to multi-user environments, concurrency conflicts become prevalent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When multiple asynchronous operations target the same record without coordination, data corruption occurs unless transactional consistency is enforced at the schema level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Idempotency is an essential mechanism in production-grade software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An idempotent operation produces the exact same system state regardless of whether it is executed once or multiple times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Network latency frequently causes end users to click submission controls repeatedly, or triggers mobile network layers to auto-retry dropped requests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Without idempotency keys or unique transaction identifiers, applications inadvertently generate duplicate database entries, double-bill payment processors, or dispatch duplicate communication alerts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Resilient architectures generate a unique client-side identifier for each action, which the server validates to detect and safely ignore duplicate requests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Graceful degradation functions alongside idempotency to safeguard systemic reliability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Rather than allowing an entire application to crash when a non-essential service (such as an analytics tracker or external notification webhook) fails, production front ends isolate failures behind modular error boundaries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containment preserves core workflows, maintains viewable local states, and provides users with explicit, actionable retry controls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Experience Ergonomics and Interaction Design Principles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Software that users rely on daily achieves adoption through predictability, feedback immediacy, and low cognitive overhead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Non-technical builders often make the mistake of evaluating applications solely in their ideal state—where every screen is populated with complete, perfectly formatted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Production software, by contrast, must navigate several fluctuating environmental states while maintaining interface coherence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Hurff Five-State Interface Model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Scott Hurff’s Five-State UI model provides a rigorous design methodology for interaction engineering, requiring every screen and modular component to account for five distinct operating contexts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baseline is the Ideal State, representing the screen when fully populated with optimal user data</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While this state serves as the visual benchmark during initial design, it is seen only after prolonged user engagement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Empty State represents the initial user onboarding context, where zero records exist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Unhandled empty states display disorienting blank spaces; resilient designs incorporate educational copy, sample previews, and a primary call-to-action to help users create their first record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Between the empty and ideal states lies the Partial State, which occurs when sparse or incomplete data exists (such as a profile with single fields filled or a dashboard with one historical log)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Layouts must maintain visual balance and prevent design collapse when anticipated data blocks are absent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Loading State accounts for latency during network round-trips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Modern standards replace generic, blocking spinner wheels with shimmer skeleton screens that preserve layout stability and reduce perceived wait times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Finally, the Error State communicates operational failures, such as network timeouts or backend exceptions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Production-grade error handling avoids raw system error dumps, preserves uncommitted user input, and provides direct, non-blocking pathways for recovery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Interface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User 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Production UX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Ideal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clutter and informational overload over extended usage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Fully populated database records and active accounts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 strict typographic hierarchy, responsive grid alignment, and scannable visual containers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Empty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disorientation and immediate onboarding abandonment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account creation or post-clearance events (zero records)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 educational context, illustrate the utility of the feature, and display an explicit creation trigger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Partial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visual collapse and broken layout alignment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Sparse user activity, incomplete profiles, or single entries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 min-height constraints and dynamic placeholders for absent data blocks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Loading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uncertainty, repeated action submissions, and perceived sluggishness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Asynchronous network fetches and data processing delays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 layout-preserving shimmer skeleton screens; disable interactive triggers to prevent duplicate submissions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Error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Loss of typed input, cognitive friction, and application abandonment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loss, 4xx/5xx API responses, and schema parsing failures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Preserve unsaved form states in memory, display human-readable guidance, and provide single-click retry triggers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Optimistic UI Architecture and Transactional Rollback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web and mobile interfaces, waiting for server responses before reflecting user actions introduces perceptible friction that degrades user satisfaction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Optimistic UI updates circumvent this delay by immediately rendering the expected outcome of an action—such as toggling an item, marking a task complete, or adding a comment—before the backend confirms the operation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Executing optimistic design safely requires strict transactional rollback protocols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a background network request fails, the application cannot simply leave the interface out of sync with the database, nor can it silently revert the UI without explanation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interface must first capture an in-memory snapshot of the existing state and create a temporary client-side entity ID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UI updates immediately, often displaying subtle visual indicators (such as reduced opacity or a discreet syncing icon) to communicate in-flight processing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server confirms the operation, the temporary entity seamlessly reconciles with the definitive database record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Conversely, if the server returns an error or times out, the client automatically restores the previous state from memory, alerts the user with an unobtrusive toast notification, and preserves their uncommitted data to prevent loss of work</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Importantly, optimistic updates should be used only for high-frequency, reversible actions like social reactions or status toggles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High-risk, irreversible operations—such as financial transactions, credential updates, or permanent data deletions—must always wait for confirmed server execution before updating the UI</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Accessibility and Human Factors (WCAG 2.2 Standards)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 systems must ensure universal operability across varying physical capabilities and input modalities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Web Content Accessibility Guidelines (WCAG) 2.2 define international standards for interaction accessibility, establishing requirements that every consumer application must satisfy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WCAG 2.2 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Conformance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Quantitative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Design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Size (Minimum) (SC 2.5.8)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Level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w:t>
            </w:r>
            <w:r w:rsidDel="00000000" w:rsidR="00000000" w:rsidRPr="00000000">
              <w:rPr>
                <w:rFonts w:ascii="Google Sans" w:cs="Google Sans" w:eastAsia="Google Sans" w:hAnsi="Google Sans"/>
              </w:rPr>
              <w:drawing>
                <wp:inline distB="19050" distT="19050" distL="19050" distR="19050">
                  <wp:extent cx="631190" cy="239087"/>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1190" cy="239087"/>
                          </a:xfrm>
                          <a:prstGeom prst="rect"/>
                          <a:ln/>
                        </pic:spPr>
                      </pic:pic>
                    </a:graphicData>
                  </a:graphic>
                </wp:inline>
              </w:drawing>
            </w:r>
            <w:r w:rsidDel="00000000" w:rsidR="00000000" w:rsidRPr="00000000">
              <w:rPr>
                <w:rFonts w:ascii="Google Sans" w:cs="Google Sans" w:eastAsia="Google Sans" w:hAnsi="Google Sans"/>
                <w:rtl w:val="0"/>
              </w:rPr>
              <w:t xml:space="preserve"> CSS pixels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 touch targets meet the size threshold or supply sufficient CSS spacing to prevent accidental taps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Focus Not Obscured (SC 2.4.11)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Level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230505" cy="211296"/>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0505" cy="211296"/>
                          </a:xfrm>
                          <a:prstGeom prst="rect"/>
                          <a:ln/>
                        </pic:spPr>
                      </pic:pic>
                    </a:graphicData>
                  </a:graphic>
                </wp:inline>
              </w:drawing>
            </w:r>
            <w:r w:rsidDel="00000000" w:rsidR="00000000" w:rsidRPr="00000000">
              <w:rPr>
                <w:rFonts w:ascii="Google Sans" w:cs="Google Sans" w:eastAsia="Google Sans" w:hAnsi="Google Sans"/>
                <w:rtl w:val="0"/>
              </w:rPr>
              <w:t xml:space="preserve"> total occlusion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Guarantee that keyboard focus indicators are never entirely hidden behind fixed headers, footers, or floating overlays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Focus Appearance (SC 2.4.13)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Level AAA (Best Practice)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56724" cy="209332"/>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56724" cy="209332"/>
                          </a:xfrm>
                          <a:prstGeom prst="rect"/>
                          <a:ln/>
                        </pic:spPr>
                      </pic:pic>
                    </a:graphicData>
                  </a:graphic>
                </wp:inline>
              </w:drawing>
            </w:r>
            <w:r w:rsidDel="00000000" w:rsidR="00000000" w:rsidRPr="00000000">
              <w:rPr>
                <w:rFonts w:ascii="Google Sans" w:cs="Google Sans" w:eastAsia="Google Sans" w:hAnsi="Google Sans"/>
                <w:rtl w:val="0"/>
              </w:rPr>
              <w:t xml:space="preserve"> solid indicator; </w:t>
            </w:r>
            <w:r w:rsidDel="00000000" w:rsidR="00000000" w:rsidRPr="00000000">
              <w:rPr>
                <w:rFonts w:ascii="Google Sans" w:cs="Google Sans" w:eastAsia="Google Sans" w:hAnsi="Google Sans"/>
              </w:rPr>
              <w:drawing>
                <wp:inline distB="19050" distT="19050" distL="19050" distR="19050">
                  <wp:extent cx="500063" cy="207573"/>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0063" cy="207573"/>
                          </a:xfrm>
                          <a:prstGeom prst="rect"/>
                          <a:ln/>
                        </pic:spPr>
                      </pic:pic>
                    </a:graphicData>
                  </a:graphic>
                </wp:inline>
              </w:drawing>
            </w:r>
            <w:r w:rsidDel="00000000" w:rsidR="00000000" w:rsidRPr="00000000">
              <w:rPr>
                <w:rFonts w:ascii="Google Sans" w:cs="Google Sans" w:eastAsia="Google Sans" w:hAnsi="Google Sans"/>
                <w:rtl w:val="0"/>
              </w:rPr>
              <w:t xml:space="preserve"> contrast ratio</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 high-contrast visual focus indicators around interactive elements during keyboard navigation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Contrast (Minimum) (SC 1.4.3)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Level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34682" cy="208403"/>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4682" cy="208403"/>
                          </a:xfrm>
                          <a:prstGeom prst="rect"/>
                          <a:ln/>
                        </pic:spPr>
                      </pic:pic>
                    </a:graphicData>
                  </a:graphic>
                </wp:inline>
              </w:drawing>
            </w:r>
            <w:r w:rsidDel="00000000" w:rsidR="00000000" w:rsidRPr="00000000">
              <w:rPr>
                <w:rFonts w:ascii="Google Sans" w:cs="Google Sans" w:eastAsia="Google Sans" w:hAnsi="Google Sans"/>
                <w:rtl w:val="0"/>
              </w:rPr>
              <w:t xml:space="preserve"> standard; </w:t>
            </w:r>
            <w:r w:rsidDel="00000000" w:rsidR="00000000" w:rsidRPr="00000000">
              <w:rPr>
                <w:rFonts w:ascii="Google Sans" w:cs="Google Sans" w:eastAsia="Google Sans" w:hAnsi="Google Sans"/>
              </w:rPr>
              <w:drawing>
                <wp:inline distB="19050" distT="19050" distL="19050" distR="19050">
                  <wp:extent cx="500063" cy="207573"/>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0063" cy="207573"/>
                          </a:xfrm>
                          <a:prstGeom prst="rect"/>
                          <a:ln/>
                        </pic:spPr>
                      </pic:pic>
                    </a:graphicData>
                  </a:graphic>
                </wp:inline>
              </w:drawing>
            </w:r>
            <w:r w:rsidDel="00000000" w:rsidR="00000000" w:rsidRPr="00000000">
              <w:rPr>
                <w:rFonts w:ascii="Google Sans" w:cs="Google Sans" w:eastAsia="Google Sans" w:hAnsi="Google Sans"/>
                <w:rtl w:val="0"/>
              </w:rPr>
              <w:t xml:space="preserve"> large text</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 strict luminance contrast between foreground text and underlying background elements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Performance Thresholds and User Tolerance Benchmarks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experience is fundamentally governed by human perceptual processing limits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When software latency exceeds these thresholds, cognitive continuity breaks down, leading to frustration, mistaken inputs, and elevated abandonment rates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Response Thresholds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Decades of human-computer interaction research, codified by the Nielsen Norman Group, define three critical response time boundaries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response time of 0.1 second (100 milliseconds) represents the threshold for the perception of instantaneous feedback</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When an interface responds within this window, users feel they are directly manipulating the system, requiring no additional visual loading indicators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delay of 1.0 second (1,000 milliseconds) marks the limit for an uninterrupted stream of thought</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While users notice the delay, their mental context remains intact</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Operations running between 100 ms and 1,000 ms require subtle feedback, such as a pressed-state animation or a simple loading cursor, to confirm the system received the input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delay of 10.0 seconds represents the absolute boundary of user attention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Operations extending beyond ten seconds result in task abandonment unless the interface displays an explicit, percentage-based progress bar and allows the user to perform other tasks while processing continues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Web Vitals and Responsiveness Metrics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Web Vitals quantify user tolerance into enforceable performance metrics across web and hybrid applications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Interaction to Next Paint (INP) is the web-wide standard for evaluating interface responsiveness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While legacy metrics evaluated only the first click, INP records the worst-performing interaction latency observed across an entire user session, calculated at the 75th percentile of real-world traffic</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An INP under 200 milliseconds qualifies as good, whereas latencies exceeding 500 milliseconds are poor and cause noticeable interface lag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Across the web, approximately 43% of applications fail the 200 ms INP threshold, typically due to long JavaScript tasks blocking the browser main thread during user inputs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Largest Contentful Paint (LCP) tracks the time required for the largest visible content element—such as a hero banner, heading, or image—to render fully, with production systems targeting 2.5 seconds or less on standard mobile connections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Cumulative Layout Shift (CLS) evaluates visual stability by measuring unexpected movements of layout elements during rendering, where scores above 0.10 create jarring shifts that cause users to miss-click buttons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Good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Needs Improvement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Poor (Unacceptable)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Remediation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Interaction to Next Paint (INP)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697547" cy="21022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97547" cy="21022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85838" cy="208543"/>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85838" cy="20854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97547" cy="21022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97547" cy="2102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Long JavaScript tasks (</w:t>
            </w:r>
            <w:r w:rsidDel="00000000" w:rsidR="00000000" w:rsidRPr="00000000">
              <w:rPr>
                <w:rFonts w:ascii="Google Sans" w:cs="Google Sans" w:eastAsia="Google Sans" w:hAnsi="Google Sans"/>
              </w:rPr>
              <w:drawing>
                <wp:inline distB="19050" distT="19050" distL="19050" distR="19050">
                  <wp:extent cx="611029" cy="210041"/>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1029" cy="210041"/>
                          </a:xfrm>
                          <a:prstGeom prst="rect"/>
                          <a:ln/>
                        </pic:spPr>
                      </pic:pic>
                    </a:graphicData>
                  </a:graphic>
                </wp:inline>
              </w:drawing>
            </w:r>
            <w:r w:rsidDel="00000000" w:rsidR="00000000" w:rsidRPr="00000000">
              <w:rPr>
                <w:rFonts w:ascii="Google Sans" w:cs="Google Sans" w:eastAsia="Google Sans" w:hAnsi="Google Sans"/>
                <w:rtl w:val="0"/>
              </w:rPr>
              <w:t xml:space="preserve">) blocking the browser main thread</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Break up intensive operations using requestIdleCallback and Web Workers; defer non-critical scripts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Largest Contentful Paint (LCP)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515143" cy="209873"/>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15143" cy="20987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65017" cy="210380"/>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65017" cy="2103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15143" cy="209873"/>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15143" cy="20987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Oversized images, slow web font discovery, and render-blocking CSS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Preload the LCP image element, serve modern formats (AVIF/WebP), and inline critical CSS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Cumulative Layout Shift (CLS)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90378" cy="211536"/>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0378" cy="21153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26770" cy="209068"/>
                  <wp:effectExtent b="0" l="0" r="0" t="0"/>
                  <wp:docPr id="2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826770" cy="20906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90378" cy="211536"/>
                  <wp:effectExtent b="0" l="0" r="0" t="0"/>
                  <wp:docPr id="2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90378" cy="21153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18,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 elements lacking explicit dimensions, unsized banners, and font swaps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 fixed width and height aspect-ratio wrappers; reserve space for dynamic containers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 to First Byte (TTFB)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697547" cy="210220"/>
                  <wp:effectExtent b="0" l="0" r="0" t="0"/>
                  <wp:docPr id="2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97547" cy="21022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149353" cy="208973"/>
                  <wp:effectExtent b="0" l="0" r="0" t="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149353" cy="20897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61060" cy="210481"/>
                  <wp:effectExtent b="0" l="0" r="0" t="0"/>
                  <wp:docPr id="2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861060" cy="2104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Slow database queries, unoptimized backend handlers, and network routing hops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edge-caching CDNs, pre-render static assets, and optimize database read indexes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Iterative Quality Assurance: Smoke Testing, Regression, and Acceptance Protocols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Without structured testing routines, non-technical software builders often default to subjective, unorganized testing after modifying prompts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approach creates hidden software regressions, where generating a new capability inadvertently breaks an earlier, unreviewed feature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Sustainable software delivery requires a formal testing taxonomy that balances delivery speed with architectural safety</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Smoke Testing vs. Regression Testing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production test strategy organizes validation into complementary testing tiers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Smoke testing represents a rapid, high-level verification pass executed after every build iteration to confirm that core system pathways remain operational</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Smoke tests do not inspect obscure edge cases; instead, they ensure the build is stable enough to warrant deeper testing</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For an e-commerce application, a smoke test simply verifies that the home screen loads, a product can be viewed, an item can be added to the shopping cart, and the checkout form displays without crashing</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Regression testing, by contrast, is a comprehensive validation suite that systematically tests primary workflows and complex boundary conditions across all previously released features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Its primary objective is to catch unintended side effects introduced by new code, refactored logic, or modified dependencies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In an agentic environment, where automated changes can cause unexpected side effects across files, regression testing provides the essential safety net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Acceptance Criteria and Boundary Testing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direct an agentic development tool effectively, natural language prompts must be structured around verifiable User Acceptance Criteria (UAC)</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Builders should construct criteria using the standard Given-When-Then specification syntax. For example, validating offline functionality requires defining an explicit scenario: Given an authenticated user with three existing records, when network connectivity is severed and a new record is submitted, then the interface must render the record optimistically, store the payload in a local cache, and avoid displaying unhandled network exceptions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Complementing acceptance criteria is boundary testing—the disciplined practice of evaluating inputs at their operational extremes to uncover hidden edge cases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Systems must be intentionally stressed using zero-length inputs, excessively large payloads, malformed inputs, and simulated network disruptions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Boundary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Test Implementation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Common Agentic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Production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Zero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Empty form submissions, whitespace-only fields, and null parameters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Unhandled exceptions or blank records created in the database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 front-end and back-end schema validation with descriptive field-level error messages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Excessive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Submitting </w:t>
            </w:r>
            <w:r w:rsidDel="00000000" w:rsidR="00000000" w:rsidRPr="00000000">
              <w:rPr>
                <w:rFonts w:ascii="Google Sans" w:cs="Google Sans" w:eastAsia="Google Sans" w:hAnsi="Google Sans"/>
              </w:rPr>
              <w:drawing>
                <wp:inline distB="19050" distT="19050" distL="19050" distR="19050">
                  <wp:extent cx="509588" cy="207610"/>
                  <wp:effectExtent b="0" l="0" r="0" t="0"/>
                  <wp:docPr id="2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09588" cy="207610"/>
                          </a:xfrm>
                          <a:prstGeom prst="rect"/>
                          <a:ln/>
                        </pic:spPr>
                      </pic:pic>
                    </a:graphicData>
                  </a:graphic>
                </wp:inline>
              </w:drawing>
            </w:r>
            <w:r w:rsidDel="00000000" w:rsidR="00000000" w:rsidRPr="00000000">
              <w:rPr>
                <w:rFonts w:ascii="Google Sans" w:cs="Google Sans" w:eastAsia="Google Sans" w:hAnsi="Google Sans"/>
                <w:rtl w:val="0"/>
              </w:rPr>
              <w:t xml:space="preserve">-character strings, </w:t>
            </w:r>
            <w:r w:rsidDel="00000000" w:rsidR="00000000" w:rsidRPr="00000000">
              <w:rPr>
                <w:rFonts w:ascii="Google Sans" w:cs="Google Sans" w:eastAsia="Google Sans" w:hAnsi="Google Sans"/>
              </w:rPr>
              <w:drawing>
                <wp:inline distB="19050" distT="19050" distL="19050" distR="19050">
                  <wp:extent cx="497205" cy="210356"/>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97205" cy="210356"/>
                          </a:xfrm>
                          <a:prstGeom prst="rect"/>
                          <a:ln/>
                        </pic:spPr>
                      </pic:pic>
                    </a:graphicData>
                  </a:graphic>
                </wp:inline>
              </w:drawing>
            </w:r>
            <w:r w:rsidDel="00000000" w:rsidR="00000000" w:rsidRPr="00000000">
              <w:rPr>
                <w:rFonts w:ascii="Google Sans" w:cs="Google Sans" w:eastAsia="Google Sans" w:hAnsi="Google Sans"/>
                <w:rtl w:val="0"/>
              </w:rPr>
              <w:t xml:space="preserve"> assets, or rapid form clicks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Layout overflow, thread-blocking JSON parsing, and duplicate records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payload size constraints, debounce submit buttons, and enforce rate limits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Malformed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Injecting HTML tags, database operators, negative values, and non-ASCII text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XSS vulnerability, broken database queries, or corrupted UI layouts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 parameterization, sanitize input strings, and validate Unicode support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Environmental Instability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Severing internet connection mid-request, throttling bandwidth, and revoking permissions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Frozen interface spinners, unhandled promise rejections, or blank screens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automatic retry mechanisms, maintain local persistence caches, and display offline notifications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Antigravity Governance and Validation Framework</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Antigravity provides an agentic execution platform designed to operate across code editors, integrated terminals, and live browsers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without clear operational constraints, agents can make uncoordinated changes, skip testing, or introduce security regressions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Builders must use Antigravity's native architectural mechanisms—Workspace Rules, Skills, Lifecycle Hooks, and Chrome DevTools MCP—to establish automated quality guardrails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 of Native Guardrails: Rules, Skills, and Hooks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uses three structural primitives to guide agent execution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Workspace Rules (.agents/rules/*.md or GEMINI.md) represent persistent, project-wide constraints that are injected into the agent's context during every iteration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Rules enforce non-negotiable architectural standards, such as prohibiting hardcoded credentials, requiring schema validation, and enforcing keyboard accessibility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Procedural Skills (.agents/skills/&lt;name&gt;/SKILL.md) provide step-by-step Standard Operating Procedures (SOPs) that activate dynamically when the agent encounters specific tasks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Skills contain execution protocols, helper scripts, and validation criteria that guide the agent through multi-step workflows like database migrations or performance audits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Lifecycle Hooks (.agents/hooks.json) provide deterministic triggers that execute before or after tool calls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Hooks run automated scripts—such as linters, type-checkers, or security scanners—independent of model discretion, preventing faulty code from being written to the codebase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Antigravity Primitive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Configuration 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Triggering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 in Quality Governance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Lifecycle 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.agents/hooks.json or ~/.gemini/config/hooks.json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Intercepts tool execution events (PreToolUse, PostToolUse)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Executes linters, type checks, and security scanners automatically, blocking invalid code edits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Workspace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.agents/rules/*.md or workspace GEMINI.md</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Evaluated continuously for relevant file paths and prompts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Enforces architectural constraints, schema validation rules, and security policies across all code generation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Procedural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.agents/skills/&lt;skill-name&gt;/SKILL.md</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 activation via progressive disclosure or manual slash commands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Supplies step-by-step operating procedures for automated testing, debugging, and release workflows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Chrome DevTools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Integrated agent MCP tool suite (chrome-devtools)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Invoked during browser verification loops (/browser or /goal)</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Profiles runtime performance, audits Core Web Vitals, and verifies accessibility compliance in a live browser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Autonomous Browser Auditing via Chrome DevTools MCP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2.0 natively integrates with the Chrome DevTools Model Context Protocol (MCP) server, allowing agents to control a live Chrome instance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moves testing beyond static code inspection to live browser evaluation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the browser subagent (/browser) and DevTools MCP, the agent can autonomously validate the running application against production standards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agent audits Core Web Vitals by recording performance traces during simulated user journeys, catching high INP latencies or layout shifts under throttled network conditions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 inspects the live accessibility tree to verify that interactive elements meet WCAG color contrast, focus visibility, and minimum touch target requirements (</w:t>
      </w:r>
      <w:r w:rsidDel="00000000" w:rsidR="00000000" w:rsidRPr="00000000">
        <w:rPr>
          <w:rFonts w:ascii="Google Sans" w:cs="Google Sans" w:eastAsia="Google Sans" w:hAnsi="Google Sans"/>
        </w:rPr>
        <w:drawing>
          <wp:inline distB="19050" distT="19050" distL="19050" distR="19050">
            <wp:extent cx="631190" cy="239087"/>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1190" cy="239087"/>
                    </a:xfrm>
                    <a:prstGeom prst="rect"/>
                    <a:ln/>
                  </pic:spPr>
                </pic:pic>
              </a:graphicData>
            </a:graphic>
          </wp:inline>
        </w:drawing>
      </w:r>
      <w:r w:rsidDel="00000000" w:rsidR="00000000" w:rsidRPr="00000000">
        <w:rPr>
          <w:rFonts w:ascii="Google Sans" w:cs="Google Sans" w:eastAsia="Google Sans" w:hAnsi="Google Sans"/>
          <w:rtl w:val="0"/>
        </w:rPr>
        <w:t xml:space="preserve"> px)</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Furthermore, the agent monitors browser console logs and network traffic to detect unhandled runtime exceptions, failed API requests, and memory leaks before changes are committed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documents these operational outcomes through Artifacts—rich markdown summaries, performance traces, diffs, and screen recordings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artifacts provide a clear verification audit trail, enabling non-technical builders to inspect and validate what the agent did without needing to read complex code diffs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Iterative Release Checkpoint Matrix</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systematically validate software after every iteration, builders must enforce a four-phase release checkpoint matrix</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Each iteration must satisfy all defined criteria before moving to the next stage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Checkpoint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Quality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Verification Tooling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Pass/Fail Acceptance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1: Architecture &amp;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integrity, access controls, and code safety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Rules engine (.agents/rules/), static linters, and Lifecycle Hooks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client-exposed secret keys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all inputs bounded by schema validation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explicit CORS allowlisting in place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backend authorization verified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2: UX &amp; Interface Resilience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Hurff 5-State coverage, optimistic updates, and accessibility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inspections, Chrome DevTools MCP accessibility audit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5 UI states accounted for per view</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optimistic UI supports clean transactional rollback</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touch targets meet </w:t>
            </w:r>
            <w:r w:rsidDel="00000000" w:rsidR="00000000" w:rsidRPr="00000000">
              <w:rPr>
                <w:rFonts w:ascii="Google Sans" w:cs="Google Sans" w:eastAsia="Google Sans" w:hAnsi="Google Sans"/>
              </w:rPr>
              <w:drawing>
                <wp:inline distB="19050" distT="19050" distL="19050" distR="19050">
                  <wp:extent cx="788194" cy="208919"/>
                  <wp:effectExtent b="0" l="0" r="0" t="0"/>
                  <wp:docPr id="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788194" cy="208919"/>
                          </a:xfrm>
                          <a:prstGeom prst="rect"/>
                          <a:ln/>
                        </pic:spPr>
                      </pic:pic>
                    </a:graphicData>
                  </a:graphic>
                </wp:inline>
              </w:drawing>
            </w:r>
            <w:r w:rsidDel="00000000" w:rsidR="00000000" w:rsidRPr="00000000">
              <w:rPr>
                <w:rFonts w:ascii="Google Sans" w:cs="Google Sans" w:eastAsia="Google Sans" w:hAnsi="Google Sans"/>
                <w:rtl w:val="0"/>
              </w:rPr>
              <w:t xml:space="preserve"> minimum</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contrast ratios pass WCAG AA standards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3: Quantitative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Perceived speed, main-thread responsiveness, and Core Web Vitals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Headless browser execution (/browser), Chrome DevTools MCP profiling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055532" cy="209205"/>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055532" cy="209205"/>
                          </a:xfrm>
                          <a:prstGeom prst="rect"/>
                          <a:ln/>
                        </pic:spPr>
                      </pic:pic>
                    </a:graphicData>
                  </a:graphic>
                </wp:inline>
              </w:drawing>
            </w:r>
            <w:r w:rsidDel="00000000" w:rsidR="00000000" w:rsidRPr="00000000">
              <w:rPr>
                <w:rFonts w:ascii="Google Sans" w:cs="Google Sans" w:eastAsia="Google Sans" w:hAnsi="Google Sans"/>
                <w:rtl w:val="0"/>
              </w:rPr>
              <w:t xml:space="preserve"> on mobile interactions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914083" cy="209477"/>
                  <wp:effectExtent b="0" l="0" r="0" t="0"/>
                  <wp:docPr id="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914083" cy="20947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67727" cy="209780"/>
                  <wp:effectExtent b="0" l="0" r="0" t="0"/>
                  <wp:docPr id="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867727" cy="20978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total compressed JavaScript payload under </w:t>
            </w:r>
            <w:r w:rsidDel="00000000" w:rsidR="00000000" w:rsidRPr="00000000">
              <w:rPr>
                <w:rFonts w:ascii="Google Sans" w:cs="Google Sans" w:eastAsia="Google Sans" w:hAnsi="Google Sans"/>
              </w:rPr>
              <w:drawing>
                <wp:inline distB="19050" distT="19050" distL="19050" distR="19050">
                  <wp:extent cx="559753" cy="208721"/>
                  <wp:effectExtent b="0" l="0" r="0" t="0"/>
                  <wp:docPr id="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59753" cy="20872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4: Functional QA &amp; 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 verification, smoke testing, and system stability</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automated goal execution (/goal), verification Artifacts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 smoke test suite passes without errors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regression check confirms earlier workflows remain stable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Antigravity generates signed verification artifacts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and Strategic Recommendations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production-ready software with agentic development platforms like Antigravity requires transitioning from open-ended prompting to structured systems governance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When non-technical creators rely purely on intuition-driven prompting, software projects quickly encounter technical debt, hidden security flaws, and fragile user flows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Reliable software engineering demands that builders shift their focus from writing implementation code to defining explicit constraints and verification protocols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implement and sustain this framework, builders should codify system requirements directly into Antigravity's configuration files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Rather than repeatedly reminding the model to sanitize inputs or safeguard secrets, these standards should be permanently defined within .agents/rules/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Development should progress in small, focused layers—beginning with the visual layout and structural states, introducing backend data handling, and concluding with performance and security audits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QA workflows should be packaged into reusable workspace skills (.agents/skills/), allowing Antigravity's browser subagent and Chrome DevTools MCP to autonomously audit Core Web Vitals, inspect accessibility trees, and catch runtime exceptions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Finally, deployment should be gated behind verifiable Antigravity Artifacts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treating execution diffs, performance traces, and test logs as mandatory prerequisites for release, builders ensure that every iteration delivers dependable, production-ready software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First App with Antigravity: A Beginner-Friendly Guide, </w:t>
      </w:r>
      <w:hyperlink r:id="rId30">
        <w:r w:rsidDel="00000000" w:rsidR="00000000" w:rsidRPr="00000000">
          <w:rPr>
            <w:rFonts w:ascii="Google Sans" w:cs="Google Sans" w:eastAsia="Google Sans" w:hAnsi="Google Sans"/>
            <w:color w:val="0000ee"/>
            <w:sz w:val="24"/>
            <w:szCs w:val="24"/>
            <w:u w:val="single"/>
            <w:rtl w:val="0"/>
          </w:rPr>
          <w:t xml:space="preserve">https://robbiemawunyo.medium.com/building-your-first-app-with-antigravity-a-beginner-friendly-guide-ca193c6f883f</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w:t>
      </w:r>
      <w:hyperlink r:id="rId31">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risks of vibe coding: Why AI tools break down in production, </w:t>
      </w:r>
      <w:hyperlink r:id="rId32">
        <w:r w:rsidDel="00000000" w:rsidR="00000000" w:rsidRPr="00000000">
          <w:rPr>
            <w:rFonts w:ascii="Google Sans" w:cs="Google Sans" w:eastAsia="Google Sans" w:hAnsi="Google Sans"/>
            <w:color w:val="0000ee"/>
            <w:sz w:val="24"/>
            <w:szCs w:val="24"/>
            <w:u w:val="single"/>
            <w:rtl w:val="0"/>
          </w:rPr>
          <w:t xml:space="preserve">https://retool.com/blog/vibe-coding-risks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security vulnerabilities best practices - Apiiro, </w:t>
      </w:r>
      <w:hyperlink r:id="rId33">
        <w:r w:rsidDel="00000000" w:rsidR="00000000" w:rsidRPr="00000000">
          <w:rPr>
            <w:rFonts w:ascii="Google Sans" w:cs="Google Sans" w:eastAsia="Google Sans" w:hAnsi="Google Sans"/>
            <w:color w:val="0000ee"/>
            <w:sz w:val="24"/>
            <w:szCs w:val="24"/>
            <w:u w:val="single"/>
            <w:rtl w:val="0"/>
          </w:rPr>
          <w:t xml:space="preserve">https://apiiro.com/blog/vibe-coding-security-best-practices/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Resilient UI: Handling Failures Gracefully in Frontend, </w:t>
      </w:r>
      <w:hyperlink r:id="rId34">
        <w:r w:rsidDel="00000000" w:rsidR="00000000" w:rsidRPr="00000000">
          <w:rPr>
            <w:rFonts w:ascii="Google Sans" w:cs="Google Sans" w:eastAsia="Google Sans" w:hAnsi="Google Sans"/>
            <w:color w:val="0000ee"/>
            <w:sz w:val="24"/>
            <w:szCs w:val="24"/>
            <w:u w:val="single"/>
            <w:rtl w:val="0"/>
          </w:rPr>
          <w:t xml:space="preserve">https://dev.to/istealersn_dev/designing-a-resilient-ui-handling-failures-gracefully-in-frontend-applications-1p9l</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w:t>
      </w:r>
      <w:hyperlink r:id="rId35">
        <w:r w:rsidDel="00000000" w:rsidR="00000000" w:rsidRPr="00000000">
          <w:rPr>
            <w:rFonts w:ascii="Google Sans" w:cs="Google Sans" w:eastAsia="Google Sans" w:hAnsi="Google Sans"/>
            <w:color w:val="0000ee"/>
            <w:sz w:val="24"/>
            <w:szCs w:val="24"/>
            <w:u w:val="single"/>
            <w:rtl w:val="0"/>
          </w:rPr>
          <w:t xml:space="preserve">https://antigravity.google/</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Security Risks: What AI-Generated Code Gets Wrong, </w:t>
      </w:r>
      <w:hyperlink r:id="rId36">
        <w:r w:rsidDel="00000000" w:rsidR="00000000" w:rsidRPr="00000000">
          <w:rPr>
            <w:rFonts w:ascii="Google Sans" w:cs="Google Sans" w:eastAsia="Google Sans" w:hAnsi="Google Sans"/>
            <w:color w:val="0000ee"/>
            <w:sz w:val="24"/>
            <w:szCs w:val="24"/>
            <w:u w:val="single"/>
            <w:rtl w:val="0"/>
          </w:rPr>
          <w:t xml:space="preserve">https://checkvibe.dev/blog/vibe-coding-security-risks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risks of vibe coding and LLM assistants for developers, </w:t>
      </w:r>
      <w:hyperlink r:id="rId37">
        <w:r w:rsidDel="00000000" w:rsidR="00000000" w:rsidRPr="00000000">
          <w:rPr>
            <w:rFonts w:ascii="Google Sans" w:cs="Google Sans" w:eastAsia="Google Sans" w:hAnsi="Google Sans"/>
            <w:color w:val="0000ee"/>
            <w:sz w:val="24"/>
            <w:szCs w:val="24"/>
            <w:u w:val="single"/>
            <w:rtl w:val="0"/>
          </w:rPr>
          <w:t xml:space="preserve">https://www.kaspersky.com/blog/vibe-coding-2025-risks/54584/</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Common Mistakes: What Beginners Get Wrong Before, </w:t>
      </w:r>
      <w:hyperlink r:id="rId38">
        <w:r w:rsidDel="00000000" w:rsidR="00000000" w:rsidRPr="00000000">
          <w:rPr>
            <w:rFonts w:ascii="Google Sans" w:cs="Google Sans" w:eastAsia="Google Sans" w:hAnsi="Google Sans"/>
            <w:color w:val="0000ee"/>
            <w:sz w:val="24"/>
            <w:szCs w:val="24"/>
            <w:u w:val="single"/>
            <w:rtl w:val="0"/>
          </w:rPr>
          <w:t xml:space="preserve">https://qualityclouds.ai/blog/vibe-coding-common-mistakes-beginners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 Google Antigravity Docs, </w:t>
      </w:r>
      <w:hyperlink r:id="rId39">
        <w:r w:rsidDel="00000000" w:rsidR="00000000" w:rsidRPr="00000000">
          <w:rPr>
            <w:rFonts w:ascii="Google Sans" w:cs="Google Sans" w:eastAsia="Google Sans" w:hAnsi="Google Sans"/>
            <w:color w:val="0000ee"/>
            <w:sz w:val="24"/>
            <w:szCs w:val="24"/>
            <w:u w:val="single"/>
            <w:rtl w:val="0"/>
          </w:rPr>
          <w:t xml:space="preserve">https://antigravity.google/docs/build-with-google/</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Google Antigravity Docs, </w:t>
      </w:r>
      <w:hyperlink r:id="rId40">
        <w:r w:rsidDel="00000000" w:rsidR="00000000" w:rsidRPr="00000000">
          <w:rPr>
            <w:rFonts w:ascii="Google Sans" w:cs="Google Sans" w:eastAsia="Google Sans" w:hAnsi="Google Sans"/>
            <w:color w:val="0000ee"/>
            <w:sz w:val="24"/>
            <w:szCs w:val="24"/>
            <w:u w:val="single"/>
            <w:rtl w:val="0"/>
          </w:rPr>
          <w:t xml:space="preserve">https://antigravity.google/docs/rules/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UI in Frontend Architecture: Do It Right, Avoid Pitfalls, </w:t>
      </w:r>
      <w:hyperlink r:id="rId41">
        <w:r w:rsidDel="00000000" w:rsidR="00000000" w:rsidRPr="00000000">
          <w:rPr>
            <w:rFonts w:ascii="Google Sans" w:cs="Google Sans" w:eastAsia="Google Sans" w:hAnsi="Google Sans"/>
            <w:color w:val="0000ee"/>
            <w:sz w:val="24"/>
            <w:szCs w:val="24"/>
            <w:u w:val="single"/>
            <w:rtl w:val="0"/>
          </w:rPr>
          <w:t xml:space="preserve">https://javascript.plainenglish.io/optimistic-ui-in-frontend-architecture-do-it-right-avoid-pitfalls-7507d713c19c</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UI: Enhancing Responsiveness | Grasp, </w:t>
      </w:r>
      <w:hyperlink r:id="rId42">
        <w:r w:rsidDel="00000000" w:rsidR="00000000" w:rsidRPr="00000000">
          <w:rPr>
            <w:rFonts w:ascii="Google Sans" w:cs="Google Sans" w:eastAsia="Google Sans" w:hAnsi="Google Sans"/>
            <w:color w:val="0000ee"/>
            <w:sz w:val="24"/>
            <w:szCs w:val="24"/>
            <w:u w:val="single"/>
            <w:rtl w:val="0"/>
          </w:rPr>
          <w:t xml:space="preserve">https://paths.grasp.study/modules/d5e7dca6-0899-42e9-98d7-fe2f12d6af54/lessons/9dd78040-978f-4714-ba5f-3f7cc4718617</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Updates and Rollback UX | Fernando Ruiz, </w:t>
      </w:r>
      <w:hyperlink r:id="rId43">
        <w:r w:rsidDel="00000000" w:rsidR="00000000" w:rsidRPr="00000000">
          <w:rPr>
            <w:rFonts w:ascii="Google Sans" w:cs="Google Sans" w:eastAsia="Google Sans" w:hAnsi="Google Sans"/>
            <w:color w:val="0000ee"/>
            <w:sz w:val="24"/>
            <w:szCs w:val="24"/>
            <w:u w:val="single"/>
            <w:rtl w:val="0"/>
          </w:rPr>
          <w:t xml:space="preserve">https://www.fernandoux.com/en/wiki/techniques/optimistic-updates-rollback/</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Products People Love: How Great Designers Create, </w:t>
      </w:r>
      <w:hyperlink r:id="rId44">
        <w:r w:rsidDel="00000000" w:rsidR="00000000" w:rsidRPr="00000000">
          <w:rPr>
            <w:rFonts w:ascii="Google Sans" w:cs="Google Sans" w:eastAsia="Google Sans" w:hAnsi="Google Sans"/>
            <w:color w:val="0000ee"/>
            <w:sz w:val="24"/>
            <w:szCs w:val="24"/>
            <w:u w:val="single"/>
            <w:rtl w:val="0"/>
          </w:rPr>
          <w:t xml:space="preserve">https://lorelai-winona35.blogspot.com/2020/03/?ec0d026762485a158b611c=designing-products-people-love-how-great-designers-create-successful-products.html</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five UI states - ClearCove Software Inc., </w:t>
      </w:r>
      <w:hyperlink r:id="rId45">
        <w:r w:rsidDel="00000000" w:rsidR="00000000" w:rsidRPr="00000000">
          <w:rPr>
            <w:rFonts w:ascii="Google Sans" w:cs="Google Sans" w:eastAsia="Google Sans" w:hAnsi="Google Sans"/>
            <w:color w:val="0000ee"/>
            <w:sz w:val="24"/>
            <w:szCs w:val="24"/>
            <w:u w:val="single"/>
            <w:rtl w:val="0"/>
          </w:rPr>
          <w:t xml:space="preserve">https://clearcove.ca/2015/11/the-five-ui-states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States of a message screen _UI STACK - Abhishek Linda - Dribbble, </w:t>
      </w:r>
      <w:hyperlink r:id="rId46">
        <w:r w:rsidDel="00000000" w:rsidR="00000000" w:rsidRPr="00000000">
          <w:rPr>
            <w:rFonts w:ascii="Google Sans" w:cs="Google Sans" w:eastAsia="Google Sans" w:hAnsi="Google Sans"/>
            <w:color w:val="0000ee"/>
            <w:sz w:val="24"/>
            <w:szCs w:val="24"/>
            <w:u w:val="single"/>
            <w:rtl w:val="0"/>
          </w:rPr>
          <w:t xml:space="preserve">https://dribbble.com/shots/4444399-UI-States-of-a-message-screen-UI-STACK</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Web Vitals 2026: INP, LCP &amp; CLS Optimization - Digital Applied, </w:t>
      </w:r>
      <w:hyperlink r:id="rId47">
        <w:r w:rsidDel="00000000" w:rsidR="00000000" w:rsidRPr="00000000">
          <w:rPr>
            <w:rFonts w:ascii="Google Sans" w:cs="Google Sans" w:eastAsia="Google Sans" w:hAnsi="Google Sans"/>
            <w:color w:val="0000ee"/>
            <w:sz w:val="24"/>
            <w:szCs w:val="24"/>
            <w:u w:val="single"/>
            <w:rtl w:val="0"/>
          </w:rPr>
          <w:t xml:space="preserve">https://www.digitalapplied.com/blog/core-web-vitals-2026-inp-lcp-cls-optimization-guide</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to Next Paint (INP): Improve Core Web Vitals, </w:t>
      </w:r>
      <w:hyperlink r:id="rId48">
        <w:r w:rsidDel="00000000" w:rsidR="00000000" w:rsidRPr="00000000">
          <w:rPr>
            <w:rFonts w:ascii="Google Sans" w:cs="Google Sans" w:eastAsia="Google Sans" w:hAnsi="Google Sans"/>
            <w:color w:val="0000ee"/>
            <w:sz w:val="24"/>
            <w:szCs w:val="24"/>
            <w:u w:val="single"/>
            <w:rtl w:val="0"/>
          </w:rPr>
          <w:t xml:space="preserve">https://next3offload.com/blog/interaction-to-next-paint-inp/</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optimistic UI and React's useOptimistic Hook, </w:t>
      </w:r>
      <w:hyperlink r:id="rId49">
        <w:r w:rsidDel="00000000" w:rsidR="00000000" w:rsidRPr="00000000">
          <w:rPr>
            <w:rFonts w:ascii="Google Sans" w:cs="Google Sans" w:eastAsia="Google Sans" w:hAnsi="Google Sans"/>
            <w:color w:val="0000ee"/>
            <w:sz w:val="24"/>
            <w:szCs w:val="24"/>
            <w:u w:val="single"/>
            <w:rtl w:val="0"/>
          </w:rPr>
          <w:t xml:space="preserve">https://blog.logrocket.com/understanding-optimistic-ui-react-useoptimistic-hook/</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Compliance Guide - Accesstive, </w:t>
      </w:r>
      <w:hyperlink r:id="rId50">
        <w:r w:rsidDel="00000000" w:rsidR="00000000" w:rsidRPr="00000000">
          <w:rPr>
            <w:rFonts w:ascii="Google Sans" w:cs="Google Sans" w:eastAsia="Google Sans" w:hAnsi="Google Sans"/>
            <w:color w:val="0000ee"/>
            <w:sz w:val="24"/>
            <w:szCs w:val="24"/>
            <w:u w:val="single"/>
            <w:rtl w:val="0"/>
          </w:rPr>
          <w:t xml:space="preserve">https://accesstive.com/wcag-guide/</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Guide: All 9 New Success Criteria Explained, </w:t>
      </w:r>
      <w:hyperlink r:id="rId51">
        <w:r w:rsidDel="00000000" w:rsidR="00000000" w:rsidRPr="00000000">
          <w:rPr>
            <w:rFonts w:ascii="Google Sans" w:cs="Google Sans" w:eastAsia="Google Sans" w:hAnsi="Google Sans"/>
            <w:color w:val="0000ee"/>
            <w:sz w:val="24"/>
            <w:szCs w:val="24"/>
            <w:u w:val="single"/>
            <w:rtl w:val="0"/>
          </w:rPr>
          <w:t xml:space="preserve">https://flexaccesses.com/resources/wcag-2-2-guide</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Accessibility (WCAG 2.2): Standards Implementation Guide, </w:t>
      </w:r>
      <w:hyperlink r:id="rId52">
        <w:r w:rsidDel="00000000" w:rsidR="00000000" w:rsidRPr="00000000">
          <w:rPr>
            <w:rFonts w:ascii="Google Sans" w:cs="Google Sans" w:eastAsia="Google Sans" w:hAnsi="Google Sans"/>
            <w:color w:val="0000ee"/>
            <w:sz w:val="24"/>
            <w:szCs w:val="24"/>
            <w:u w:val="single"/>
            <w:rtl w:val="0"/>
          </w:rPr>
          <w:t xml:space="preserve">https://www.codesoltech.com/blog/wcag-2-2-guide/</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Touch Target Size: Google's Guidelines for Mobile Buttons, </w:t>
      </w:r>
      <w:hyperlink r:id="rId53">
        <w:r w:rsidDel="00000000" w:rsidR="00000000" w:rsidRPr="00000000">
          <w:rPr>
            <w:rFonts w:ascii="Google Sans" w:cs="Google Sans" w:eastAsia="Google Sans" w:hAnsi="Google Sans"/>
            <w:color w:val="0000ee"/>
            <w:sz w:val="24"/>
            <w:szCs w:val="24"/>
            <w:u w:val="single"/>
            <w:rtl w:val="0"/>
          </w:rPr>
          <w:t xml:space="preserve">https://www.mobileviewer.io/blog/touch-target-size</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Content Accessibility Guidelines (WCAG) 2.2 - W3C, </w:t>
      </w:r>
      <w:hyperlink r:id="rId54">
        <w:r w:rsidDel="00000000" w:rsidR="00000000" w:rsidRPr="00000000">
          <w:rPr>
            <w:rFonts w:ascii="Google Sans" w:cs="Google Sans" w:eastAsia="Google Sans" w:hAnsi="Google Sans"/>
            <w:color w:val="0000ee"/>
            <w:sz w:val="24"/>
            <w:szCs w:val="24"/>
            <w:u w:val="single"/>
            <w:rtl w:val="0"/>
          </w:rPr>
          <w:t xml:space="preserve">https://www.w3.org/TR/WCAG22/</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on Applying WCAG 2.2 to Mobile Applications ... - W3C, </w:t>
      </w:r>
      <w:hyperlink r:id="rId55">
        <w:r w:rsidDel="00000000" w:rsidR="00000000" w:rsidRPr="00000000">
          <w:rPr>
            <w:rFonts w:ascii="Google Sans" w:cs="Google Sans" w:eastAsia="Google Sans" w:hAnsi="Google Sans"/>
            <w:color w:val="0000ee"/>
            <w:sz w:val="24"/>
            <w:szCs w:val="24"/>
            <w:u w:val="single"/>
            <w:rtl w:val="0"/>
          </w:rPr>
          <w:t xml:space="preserve">https://www.w3.org/TR/wcag2mobile-22/</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Compliance - Checklist and How to Meet It (2026), </w:t>
      </w:r>
      <w:hyperlink r:id="rId56">
        <w:r w:rsidDel="00000000" w:rsidR="00000000" w:rsidRPr="00000000">
          <w:rPr>
            <w:rFonts w:ascii="Google Sans" w:cs="Google Sans" w:eastAsia="Google Sans" w:hAnsi="Google Sans"/>
            <w:color w:val="0000ee"/>
            <w:sz w:val="24"/>
            <w:szCs w:val="24"/>
            <w:u w:val="single"/>
            <w:rtl w:val="0"/>
          </w:rPr>
          <w:t xml:space="preserve">https://www.webyes.com/blogs/wcag-2-2-compliance-checklist/</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compliance: new criteria, levels and the law - Autemos, </w:t>
      </w:r>
      <w:hyperlink r:id="rId57">
        <w:r w:rsidDel="00000000" w:rsidR="00000000" w:rsidRPr="00000000">
          <w:rPr>
            <w:rFonts w:ascii="Google Sans" w:cs="Google Sans" w:eastAsia="Google Sans" w:hAnsi="Google Sans"/>
            <w:color w:val="0000ee"/>
            <w:sz w:val="24"/>
            <w:szCs w:val="24"/>
            <w:u w:val="single"/>
            <w:rtl w:val="0"/>
          </w:rPr>
          <w:t xml:space="preserve">https://www.autemos.com/en/blogs/wcag-2-2</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2.2 Overview and Feedback - WebAIM, </w:t>
      </w:r>
      <w:hyperlink r:id="rId58">
        <w:r w:rsidDel="00000000" w:rsidR="00000000" w:rsidRPr="00000000">
          <w:rPr>
            <w:rFonts w:ascii="Google Sans" w:cs="Google Sans" w:eastAsia="Google Sans" w:hAnsi="Google Sans"/>
            <w:color w:val="0000ee"/>
            <w:sz w:val="24"/>
            <w:szCs w:val="24"/>
            <w:u w:val="single"/>
            <w:rtl w:val="0"/>
          </w:rPr>
          <w:t xml:space="preserve">https://webaim.org/blog/wcag-2-2-overview-and-feedback/</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Powers of 10: Time Scales in User Experience - NN/G, </w:t>
      </w:r>
      <w:hyperlink r:id="rId59">
        <w:r w:rsidDel="00000000" w:rsidR="00000000" w:rsidRPr="00000000">
          <w:rPr>
            <w:rFonts w:ascii="Google Sans" w:cs="Google Sans" w:eastAsia="Google Sans" w:hAnsi="Google Sans"/>
            <w:color w:val="0000ee"/>
            <w:sz w:val="24"/>
            <w:szCs w:val="24"/>
            <w:u w:val="single"/>
            <w:rtl w:val="0"/>
          </w:rPr>
          <w:t xml:space="preserve">https://www.nngroup.com/articles/powers-of-10-time-scales-in-ux/</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to Next Paint (INP) Guide - Innovative Group, </w:t>
      </w:r>
      <w:hyperlink r:id="rId60">
        <w:r w:rsidDel="00000000" w:rsidR="00000000" w:rsidRPr="00000000">
          <w:rPr>
            <w:rFonts w:ascii="Google Sans" w:cs="Google Sans" w:eastAsia="Google Sans" w:hAnsi="Google Sans"/>
            <w:color w:val="0000ee"/>
            <w:sz w:val="24"/>
            <w:szCs w:val="24"/>
            <w:u w:val="single"/>
            <w:rtl w:val="0"/>
          </w:rPr>
          <w:t xml:space="preserve">https://innovativegroup.io/blog/interaction-to-next-paint/</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Web Vitals in 2026: What's Changed and How to Pass, </w:t>
      </w:r>
      <w:hyperlink r:id="rId61">
        <w:r w:rsidDel="00000000" w:rsidR="00000000" w:rsidRPr="00000000">
          <w:rPr>
            <w:rFonts w:ascii="Google Sans" w:cs="Google Sans" w:eastAsia="Google Sans" w:hAnsi="Google Sans"/>
            <w:color w:val="0000ee"/>
            <w:sz w:val="24"/>
            <w:szCs w:val="24"/>
            <w:u w:val="single"/>
            <w:rtl w:val="0"/>
          </w:rPr>
          <w:t xml:space="preserve">https://www.rivuletiq.com/core-web-vitals-2026-whats-changed-and-how-to-pass/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INP to Core Web Vitals | Google Search Central Blog, </w:t>
      </w:r>
      <w:hyperlink r:id="rId62">
        <w:r w:rsidDel="00000000" w:rsidR="00000000" w:rsidRPr="00000000">
          <w:rPr>
            <w:rFonts w:ascii="Google Sans" w:cs="Google Sans" w:eastAsia="Google Sans" w:hAnsi="Google Sans"/>
            <w:color w:val="0000ee"/>
            <w:sz w:val="24"/>
            <w:szCs w:val="24"/>
            <w:u w:val="single"/>
            <w:rtl w:val="0"/>
          </w:rPr>
          <w:t xml:space="preserve">https://developers.google.com/search/blog/2023/05/introducing-inp</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to Next Paint (INP): what is it? - Fasterize, </w:t>
      </w:r>
      <w:hyperlink r:id="rId63">
        <w:r w:rsidDel="00000000" w:rsidR="00000000" w:rsidRPr="00000000">
          <w:rPr>
            <w:rFonts w:ascii="Google Sans" w:cs="Google Sans" w:eastAsia="Google Sans" w:hAnsi="Google Sans"/>
            <w:color w:val="0000ee"/>
            <w:sz w:val="24"/>
            <w:szCs w:val="24"/>
            <w:u w:val="single"/>
            <w:rtl w:val="0"/>
          </w:rPr>
          <w:t xml:space="preserve">https://www.fasterize.com/en/blog/interaction-to-next-paint-inp/</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Smoke Testing vs Regression Testing Explained - Virtuoso QA, </w:t>
      </w:r>
      <w:hyperlink r:id="rId64">
        <w:r w:rsidDel="00000000" w:rsidR="00000000" w:rsidRPr="00000000">
          <w:rPr>
            <w:rFonts w:ascii="Google Sans" w:cs="Google Sans" w:eastAsia="Google Sans" w:hAnsi="Google Sans"/>
            <w:color w:val="0000ee"/>
            <w:sz w:val="24"/>
            <w:szCs w:val="24"/>
            <w:u w:val="single"/>
            <w:rtl w:val="0"/>
          </w:rPr>
          <w:t xml:space="preserve">https://www.virtuosoqa.com/post/smoke-testing-vs-regression-testing</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Mistakes: 10 Things That Break Your AI-Built Apps, </w:t>
      </w:r>
      <w:hyperlink r:id="rId65">
        <w:r w:rsidDel="00000000" w:rsidR="00000000" w:rsidRPr="00000000">
          <w:rPr>
            <w:rFonts w:ascii="Google Sans" w:cs="Google Sans" w:eastAsia="Google Sans" w:hAnsi="Google Sans"/>
            <w:color w:val="0000ee"/>
            <w:sz w:val="24"/>
            <w:szCs w:val="24"/>
            <w:u w:val="single"/>
            <w:rtl w:val="0"/>
          </w:rPr>
          <w:t xml:space="preserve">https://www.vybe.build/blog/vibe-coding-mistakes</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Management skill — Agent Skill for AI Coding Assistants, </w:t>
      </w:r>
      <w:hyperlink r:id="rId66">
        <w:r w:rsidDel="00000000" w:rsidR="00000000" w:rsidRPr="00000000">
          <w:rPr>
            <w:rFonts w:ascii="Google Sans" w:cs="Google Sans" w:eastAsia="Google Sans" w:hAnsi="Google Sans"/>
            <w:color w:val="0000ee"/>
            <w:sz w:val="24"/>
            <w:szCs w:val="24"/>
            <w:u w:val="single"/>
            <w:rtl w:val="0"/>
          </w:rPr>
          <w:t xml:space="preserve">https://www.skills.ws/skills/project-management</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Smoke Testing and Regression Testing, </w:t>
      </w:r>
      <w:hyperlink r:id="rId67">
        <w:r w:rsidDel="00000000" w:rsidR="00000000" w:rsidRPr="00000000">
          <w:rPr>
            <w:rFonts w:ascii="Google Sans" w:cs="Google Sans" w:eastAsia="Google Sans" w:hAnsi="Google Sans"/>
            <w:color w:val="0000ee"/>
            <w:sz w:val="24"/>
            <w:szCs w:val="24"/>
            <w:u w:val="single"/>
            <w:rtl w:val="0"/>
          </w:rPr>
          <w:t xml:space="preserve">https://www.geeksforgeeks.org/software-engineering/difference-between-smoke-testing-and-regression-testing/</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Smoke vs Regression: The Complete Classification Guide ... - Medium, </w:t>
      </w:r>
      <w:hyperlink r:id="rId68">
        <w:r w:rsidDel="00000000" w:rsidR="00000000" w:rsidRPr="00000000">
          <w:rPr>
            <w:rFonts w:ascii="Google Sans" w:cs="Google Sans" w:eastAsia="Google Sans" w:hAnsi="Google Sans"/>
            <w:color w:val="0000ee"/>
            <w:sz w:val="24"/>
            <w:szCs w:val="24"/>
            <w:u w:val="single"/>
            <w:rtl w:val="0"/>
          </w:rPr>
          <w:t xml:space="preserve">https://medium.com/pickme-engineering-blog/smoke-vs-regression-the-complete-classification-guide-to-drawing-the-line-in-testing-702e45143c2a</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Docs, </w:t>
      </w:r>
      <w:hyperlink r:id="rId69">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DevTools MCP - SkillPack, </w:t>
      </w:r>
      <w:hyperlink r:id="rId70">
        <w:r w:rsidDel="00000000" w:rsidR="00000000" w:rsidRPr="00000000">
          <w:rPr>
            <w:rFonts w:ascii="Google Sans" w:cs="Google Sans" w:eastAsia="Google Sans" w:hAnsi="Google Sans"/>
            <w:color w:val="0000ee"/>
            <w:sz w:val="24"/>
            <w:szCs w:val="24"/>
            <w:u w:val="single"/>
            <w:rtl w:val="0"/>
          </w:rPr>
          <w:t xml:space="preserve">https://www.skillpack.co/solutions/chrome-devtools-mcp</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IDE, </w:t>
      </w:r>
      <w:hyperlink r:id="rId71">
        <w:r w:rsidDel="00000000" w:rsidR="00000000" w:rsidRPr="00000000">
          <w:rPr>
            <w:rFonts w:ascii="Google Sans" w:cs="Google Sans" w:eastAsia="Google Sans" w:hAnsi="Google Sans"/>
            <w:color w:val="0000ee"/>
            <w:sz w:val="24"/>
            <w:szCs w:val="24"/>
            <w:u w:val="single"/>
            <w:rtl w:val="0"/>
          </w:rPr>
          <w:t xml:space="preserve">https://antigravity.google/product/antigravity-ide/</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 Google Antigravity Docs, </w:t>
      </w:r>
      <w:hyperlink r:id="rId72">
        <w:r w:rsidDel="00000000" w:rsidR="00000000" w:rsidRPr="00000000">
          <w:rPr>
            <w:rFonts w:ascii="Google Sans" w:cs="Google Sans" w:eastAsia="Google Sans" w:hAnsi="Google Sans"/>
            <w:color w:val="0000ee"/>
            <w:sz w:val="24"/>
            <w:szCs w:val="24"/>
            <w:u w:val="single"/>
            <w:rtl w:val="0"/>
          </w:rPr>
          <w:t xml:space="preserve">https://antigravity.google/docs/hooks/</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Google Antigravity Docs, </w:t>
      </w:r>
      <w:hyperlink r:id="rId73">
        <w:r w:rsidDel="00000000" w:rsidR="00000000" w:rsidRPr="00000000">
          <w:rPr>
            <w:rFonts w:ascii="Google Sans" w:cs="Google Sans" w:eastAsia="Google Sans" w:hAnsi="Google Sans"/>
            <w:color w:val="0000ee"/>
            <w:sz w:val="24"/>
            <w:szCs w:val="24"/>
            <w:u w:val="single"/>
            <w:rtl w:val="0"/>
          </w:rPr>
          <w:t xml:space="preserve">https://antigravity.google/docs/rules-workflows/</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Antigravity skills are worth installing in 2026? - Firecrawl, </w:t>
      </w:r>
      <w:hyperlink r:id="rId74">
        <w:r w:rsidDel="00000000" w:rsidR="00000000" w:rsidRPr="00000000">
          <w:rPr>
            <w:rFonts w:ascii="Google Sans" w:cs="Google Sans" w:eastAsia="Google Sans" w:hAnsi="Google Sans"/>
            <w:color w:val="0000ee"/>
            <w:sz w:val="24"/>
            <w:szCs w:val="24"/>
            <w:u w:val="single"/>
            <w:rtl w:val="0"/>
          </w:rPr>
          <w:t xml:space="preserve">https://www.firecrawl.dev/blog/antigravity-skills</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Slash Commands of Antigravity 2.0: AI-Native Game, </w:t>
      </w:r>
      <w:hyperlink r:id="rId75">
        <w:r w:rsidDel="00000000" w:rsidR="00000000" w:rsidRPr="00000000">
          <w:rPr>
            <w:rFonts w:ascii="Google Sans" w:cs="Google Sans" w:eastAsia="Google Sans" w:hAnsi="Google Sans"/>
            <w:color w:val="0000ee"/>
            <w:sz w:val="24"/>
            <w:szCs w:val="24"/>
            <w:u w:val="single"/>
            <w:rtl w:val="0"/>
          </w:rPr>
          <w:t xml:space="preserve">https://codelabs.developers.google.com/codelabs/devsite/codelabs/mastering-slash-commands-antigravity</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does Antigravity look for Plugins? | by Mete Atamel - Medium, </w:t>
      </w:r>
      <w:hyperlink r:id="rId76">
        <w:r w:rsidDel="00000000" w:rsidR="00000000" w:rsidRPr="00000000">
          <w:rPr>
            <w:rFonts w:ascii="Google Sans" w:cs="Google Sans" w:eastAsia="Google Sans" w:hAnsi="Google Sans"/>
            <w:color w:val="0000ee"/>
            <w:sz w:val="24"/>
            <w:szCs w:val="24"/>
            <w:u w:val="single"/>
            <w:rtl w:val="0"/>
          </w:rPr>
          <w:t xml:space="preserve">https://medium.com/google-cloud/where-does-antigravity-look-for-plugins-0bc7e9d99028</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ECC/docs/ANTIGRAVITY-GUIDE.md at main · affaan-m/ECC - GitHub, </w:t>
      </w:r>
      <w:hyperlink r:id="rId77">
        <w:r w:rsidDel="00000000" w:rsidR="00000000" w:rsidRPr="00000000">
          <w:rPr>
            <w:rFonts w:ascii="Google Sans" w:cs="Google Sans" w:eastAsia="Google Sans" w:hAnsi="Google Sans"/>
            <w:color w:val="0000ee"/>
            <w:sz w:val="24"/>
            <w:szCs w:val="24"/>
            <w:u w:val="single"/>
            <w:rtl w:val="0"/>
          </w:rPr>
          <w:t xml:space="preserve">https://github.com/affaan-m/ECC/blob/main/docs/ANTIGRAVITY-GUIDE.md</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Overview | Google Antigravity Docs, </w:t>
      </w:r>
      <w:hyperlink r:id="rId78">
        <w:r w:rsidDel="00000000" w:rsidR="00000000" w:rsidRPr="00000000">
          <w:rPr>
            <w:rFonts w:ascii="Google Sans" w:cs="Google Sans" w:eastAsia="Google Sans" w:hAnsi="Google Sans"/>
            <w:color w:val="0000ee"/>
            <w:sz w:val="24"/>
            <w:szCs w:val="24"/>
            <w:u w:val="single"/>
            <w:rtl w:val="0"/>
          </w:rPr>
          <w:t xml:space="preserve">https://antigravity.google/docs/features/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w:t>
      </w:r>
      <w:hyperlink r:id="rId79">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ntigravity.google/docs/rules/" TargetMode="External"/><Relationship Id="rId42" Type="http://schemas.openxmlformats.org/officeDocument/2006/relationships/hyperlink" Target="https://paths.grasp.study/modules/d5e7dca6-0899-42e9-98d7-fe2f12d6af54/lessons/9dd78040-978f-4714-ba5f-3f7cc4718617" TargetMode="External"/><Relationship Id="rId41" Type="http://schemas.openxmlformats.org/officeDocument/2006/relationships/hyperlink" Target="https://javascript.plainenglish.io/optimistic-ui-in-frontend-architecture-do-it-right-avoid-pitfalls-7507d713c19c" TargetMode="External"/><Relationship Id="rId44" Type="http://schemas.openxmlformats.org/officeDocument/2006/relationships/hyperlink" Target="https://lorelai-winona35.blogspot.com/2020/03/?ec0d026762485a158b611c=designing-products-people-love-how-great-designers-create-successful-products.html" TargetMode="External"/><Relationship Id="rId43" Type="http://schemas.openxmlformats.org/officeDocument/2006/relationships/hyperlink" Target="https://www.fernandoux.com/en/wiki/techniques/optimistic-updates-rollback/" TargetMode="External"/><Relationship Id="rId46" Type="http://schemas.openxmlformats.org/officeDocument/2006/relationships/hyperlink" Target="https://dribbble.com/shots/4444399-UI-States-of-a-message-screen-UI-STACK" TargetMode="External"/><Relationship Id="rId45" Type="http://schemas.openxmlformats.org/officeDocument/2006/relationships/hyperlink" Target="https://clearcove.ca/2015/11/the-five-ui-st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next3offload.com/blog/interaction-to-next-paint-inp/" TargetMode="External"/><Relationship Id="rId47" Type="http://schemas.openxmlformats.org/officeDocument/2006/relationships/hyperlink" Target="https://www.digitalapplied.com/blog/core-web-vitals-2026-inp-lcp-cls-optimization-guide" TargetMode="External"/><Relationship Id="rId49" Type="http://schemas.openxmlformats.org/officeDocument/2006/relationships/hyperlink" Target="https://blog.logrocket.com/understanding-optimistic-ui-react-useoptimistic-hook/"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5.png"/><Relationship Id="rId73" Type="http://schemas.openxmlformats.org/officeDocument/2006/relationships/hyperlink" Target="https://antigravity.google/docs/rules-workflows/" TargetMode="External"/><Relationship Id="rId72" Type="http://schemas.openxmlformats.org/officeDocument/2006/relationships/hyperlink" Target="https://antigravity.google/docs/hooks/" TargetMode="External"/><Relationship Id="rId31" Type="http://schemas.openxmlformats.org/officeDocument/2006/relationships/hyperlink" Target="https://developers.googleblog.com/build-with-google-antigravity-our-new-agentic-development-platform/" TargetMode="External"/><Relationship Id="rId75" Type="http://schemas.openxmlformats.org/officeDocument/2006/relationships/hyperlink" Target="https://codelabs.developers.google.com/codelabs/devsite/codelabs/mastering-slash-commands-antigravity" TargetMode="External"/><Relationship Id="rId30" Type="http://schemas.openxmlformats.org/officeDocument/2006/relationships/hyperlink" Target="https://robbiemawunyo.medium.com/building-your-first-app-with-antigravity-a-beginner-friendly-guide-ca193c6f883f" TargetMode="External"/><Relationship Id="rId74" Type="http://schemas.openxmlformats.org/officeDocument/2006/relationships/hyperlink" Target="https://www.firecrawl.dev/blog/antigravity-skills" TargetMode="External"/><Relationship Id="rId33" Type="http://schemas.openxmlformats.org/officeDocument/2006/relationships/hyperlink" Target="https://apiiro.com/blog/vibe-coding-security-best-practices/" TargetMode="External"/><Relationship Id="rId77" Type="http://schemas.openxmlformats.org/officeDocument/2006/relationships/hyperlink" Target="https://github.com/affaan-m/ECC/blob/main/docs/ANTIGRAVITY-GUIDE.md" TargetMode="External"/><Relationship Id="rId32" Type="http://schemas.openxmlformats.org/officeDocument/2006/relationships/hyperlink" Target="https://retool.com/blog/vibe-coding-risks" TargetMode="External"/><Relationship Id="rId76" Type="http://schemas.openxmlformats.org/officeDocument/2006/relationships/hyperlink" Target="https://medium.com/google-cloud/where-does-antigravity-look-for-plugins-0bc7e9d99028" TargetMode="External"/><Relationship Id="rId35" Type="http://schemas.openxmlformats.org/officeDocument/2006/relationships/hyperlink" Target="https://antigravity.google/" TargetMode="External"/><Relationship Id="rId79" Type="http://schemas.openxmlformats.org/officeDocument/2006/relationships/hyperlink" Target="https://codelabs.developers.google.com/getting-started-google-antigravity" TargetMode="External"/><Relationship Id="rId34" Type="http://schemas.openxmlformats.org/officeDocument/2006/relationships/hyperlink" Target="https://dev.to/istealersn_dev/designing-a-resilient-ui-handling-failures-gracefully-in-frontend-applications-1p9l" TargetMode="External"/><Relationship Id="rId78" Type="http://schemas.openxmlformats.org/officeDocument/2006/relationships/hyperlink" Target="https://antigravity.google/docs/features/" TargetMode="External"/><Relationship Id="rId71" Type="http://schemas.openxmlformats.org/officeDocument/2006/relationships/hyperlink" Target="https://antigravity.google/product/antigravity-ide/" TargetMode="External"/><Relationship Id="rId70" Type="http://schemas.openxmlformats.org/officeDocument/2006/relationships/hyperlink" Target="https://www.skillpack.co/solutions/chrome-devtools-mcp" TargetMode="External"/><Relationship Id="rId37" Type="http://schemas.openxmlformats.org/officeDocument/2006/relationships/hyperlink" Target="https://www.kaspersky.com/blog/vibe-coding-2025-risks/54584/" TargetMode="External"/><Relationship Id="rId36" Type="http://schemas.openxmlformats.org/officeDocument/2006/relationships/hyperlink" Target="https://checkvibe.dev/blog/vibe-coding-security-risks" TargetMode="External"/><Relationship Id="rId39" Type="http://schemas.openxmlformats.org/officeDocument/2006/relationships/hyperlink" Target="https://antigravity.google/docs/build-with-google/" TargetMode="External"/><Relationship Id="rId38" Type="http://schemas.openxmlformats.org/officeDocument/2006/relationships/hyperlink" Target="https://qualityclouds.ai/blog/vibe-coding-common-mistakes-beginners" TargetMode="External"/><Relationship Id="rId62" Type="http://schemas.openxmlformats.org/officeDocument/2006/relationships/hyperlink" Target="https://developers.google.com/search/blog/2023/05/introducing-inp" TargetMode="External"/><Relationship Id="rId61" Type="http://schemas.openxmlformats.org/officeDocument/2006/relationships/hyperlink" Target="https://www.rivuletiq.com/core-web-vitals-2026-whats-changed-and-how-to-pass/" TargetMode="External"/><Relationship Id="rId20" Type="http://schemas.openxmlformats.org/officeDocument/2006/relationships/image" Target="media/image20.png"/><Relationship Id="rId64" Type="http://schemas.openxmlformats.org/officeDocument/2006/relationships/hyperlink" Target="https://www.virtuosoqa.com/post/smoke-testing-vs-regression-testing" TargetMode="External"/><Relationship Id="rId63" Type="http://schemas.openxmlformats.org/officeDocument/2006/relationships/hyperlink" Target="https://www.fasterize.com/en/blog/interaction-to-next-paint-inp/" TargetMode="External"/><Relationship Id="rId22" Type="http://schemas.openxmlformats.org/officeDocument/2006/relationships/image" Target="media/image23.png"/><Relationship Id="rId66" Type="http://schemas.openxmlformats.org/officeDocument/2006/relationships/hyperlink" Target="https://www.skills.ws/skills/project-management" TargetMode="External"/><Relationship Id="rId21" Type="http://schemas.openxmlformats.org/officeDocument/2006/relationships/image" Target="media/image22.png"/><Relationship Id="rId65" Type="http://schemas.openxmlformats.org/officeDocument/2006/relationships/hyperlink" Target="https://www.vybe.build/blog/vibe-coding-mistakes" TargetMode="External"/><Relationship Id="rId24" Type="http://schemas.openxmlformats.org/officeDocument/2006/relationships/image" Target="media/image8.png"/><Relationship Id="rId68" Type="http://schemas.openxmlformats.org/officeDocument/2006/relationships/hyperlink" Target="https://medium.com/pickme-engineering-blog/smoke-vs-regression-the-complete-classification-guide-to-drawing-the-line-in-testing-702e45143c2a" TargetMode="External"/><Relationship Id="rId23" Type="http://schemas.openxmlformats.org/officeDocument/2006/relationships/image" Target="media/image21.png"/><Relationship Id="rId67" Type="http://schemas.openxmlformats.org/officeDocument/2006/relationships/hyperlink" Target="https://www.geeksforgeeks.org/software-engineering/difference-between-smoke-testing-and-regression-testing/" TargetMode="External"/><Relationship Id="rId60" Type="http://schemas.openxmlformats.org/officeDocument/2006/relationships/hyperlink" Target="https://innovativegroup.io/blog/interaction-to-next-paint/" TargetMode="External"/><Relationship Id="rId26" Type="http://schemas.openxmlformats.org/officeDocument/2006/relationships/image" Target="media/image16.png"/><Relationship Id="rId25" Type="http://schemas.openxmlformats.org/officeDocument/2006/relationships/image" Target="media/image17.png"/><Relationship Id="rId69" Type="http://schemas.openxmlformats.org/officeDocument/2006/relationships/hyperlink" Target="https://antigravity.google/docs/skills/" TargetMode="External"/><Relationship Id="rId28" Type="http://schemas.openxmlformats.org/officeDocument/2006/relationships/image" Target="media/image9.png"/><Relationship Id="rId27" Type="http://schemas.openxmlformats.org/officeDocument/2006/relationships/image" Target="media/image2.png"/><Relationship Id="rId29" Type="http://schemas.openxmlformats.org/officeDocument/2006/relationships/image" Target="media/image18.png"/><Relationship Id="rId51" Type="http://schemas.openxmlformats.org/officeDocument/2006/relationships/hyperlink" Target="https://flexaccesses.com/resources/wcag-2-2-guide" TargetMode="External"/><Relationship Id="rId50" Type="http://schemas.openxmlformats.org/officeDocument/2006/relationships/hyperlink" Target="https://accesstive.com/wcag-guide/" TargetMode="External"/><Relationship Id="rId53" Type="http://schemas.openxmlformats.org/officeDocument/2006/relationships/hyperlink" Target="https://www.mobileviewer.io/blog/touch-target-size" TargetMode="External"/><Relationship Id="rId52" Type="http://schemas.openxmlformats.org/officeDocument/2006/relationships/hyperlink" Target="https://www.codesoltech.com/blog/wcag-2-2-guide/" TargetMode="External"/><Relationship Id="rId11" Type="http://schemas.openxmlformats.org/officeDocument/2006/relationships/image" Target="media/image12.png"/><Relationship Id="rId55" Type="http://schemas.openxmlformats.org/officeDocument/2006/relationships/hyperlink" Target="https://www.w3.org/TR/wcag2mobile-22/" TargetMode="External"/><Relationship Id="rId10" Type="http://schemas.openxmlformats.org/officeDocument/2006/relationships/image" Target="media/image7.png"/><Relationship Id="rId54" Type="http://schemas.openxmlformats.org/officeDocument/2006/relationships/hyperlink" Target="https://www.w3.org/TR/WCAG22/" TargetMode="External"/><Relationship Id="rId13" Type="http://schemas.openxmlformats.org/officeDocument/2006/relationships/image" Target="media/image11.png"/><Relationship Id="rId57" Type="http://schemas.openxmlformats.org/officeDocument/2006/relationships/hyperlink" Target="https://www.autemos.com/en/blogs/wcag-2-2" TargetMode="External"/><Relationship Id="rId12" Type="http://schemas.openxmlformats.org/officeDocument/2006/relationships/image" Target="media/image13.png"/><Relationship Id="rId56" Type="http://schemas.openxmlformats.org/officeDocument/2006/relationships/hyperlink" Target="https://www.webyes.com/blogs/wcag-2-2-compliance-checklist/" TargetMode="External"/><Relationship Id="rId15" Type="http://schemas.openxmlformats.org/officeDocument/2006/relationships/image" Target="media/image6.png"/><Relationship Id="rId59" Type="http://schemas.openxmlformats.org/officeDocument/2006/relationships/hyperlink" Target="https://www.nngroup.com/articles/powers-of-10-time-scales-in-ux/" TargetMode="External"/><Relationship Id="rId14" Type="http://schemas.openxmlformats.org/officeDocument/2006/relationships/image" Target="media/image14.png"/><Relationship Id="rId58" Type="http://schemas.openxmlformats.org/officeDocument/2006/relationships/hyperlink" Target="https://webaim.org/blog/wcag-2-2-overview-and-feedback/" TargetMode="External"/><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2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