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multiple production R packages used company-wide for clinical trial analysis, validation, and reporting.</w:t>
      </w:r>
    </w:p>
    <w:p>
      <w:pPr>
        <w:pStyle w:val="Compact"/>
        <w:numPr>
          <w:ilvl w:val="0"/>
          <w:numId w:val="1001"/>
        </w:numPr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pStyle w:val="Compact"/>
        <w:numPr>
          <w:ilvl w:val="0"/>
          <w:numId w:val="1001"/>
        </w:numPr>
      </w:pPr>
      <w:r>
        <w:t xml:space="preserve">Developed and documented derived variables under CDISC standards (SDTM, ADaM, CDASH) with Git/GitLab collaboration and AWS S3 data management.</w:t>
      </w:r>
    </w:p>
    <w:p>
      <w:pPr>
        <w:pStyle w:val="Compact"/>
        <w:numPr>
          <w:ilvl w:val="0"/>
          <w:numId w:val="1001"/>
        </w:numPr>
      </w:pPr>
      <w:r>
        <w:t xml:space="preserve">Created an R Shiny app to visualize cancer screening timelines and key events leading to diagnosis.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for data cleaning, database locks, SAP-driven analyses, and exploratory investigations.</w:t>
      </w:r>
    </w:p>
    <w:p>
      <w:pPr>
        <w:pStyle w:val="Compact"/>
        <w:numPr>
          <w:ilvl w:val="0"/>
          <w:numId w:val="1001"/>
        </w:numPr>
      </w:pPr>
      <w:r>
        <w:t xml:space="preserve">Partnered with biostatisticians to translate SAPs into analysis specifications and reusable code.</w:t>
      </w:r>
    </w:p>
    <w:p>
      <w:pPr>
        <w:pStyle w:val="Compact"/>
        <w:numPr>
          <w:ilvl w:val="0"/>
          <w:numId w:val="1001"/>
        </w:numPr>
      </w:pPr>
      <w:r>
        <w:t xml:space="preserve">Built reproducible pipelines with unit tests and a shared code library to ensure audit-ready, backward-compatible outputs.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weekly accounts receivable aging report in R with HTML/CSS email delivery, saving ~5 hours per week.</w:t>
      </w:r>
    </w:p>
    <w:p>
      <w:pPr>
        <w:pStyle w:val="Compact"/>
        <w:numPr>
          <w:ilvl w:val="0"/>
          <w:numId w:val="1002"/>
        </w:numPr>
      </w:pPr>
      <w:r>
        <w:t xml:space="preserve">Built ad hoc dashboards and data visualizations to support leadership requests.</w:t>
      </w:r>
    </w:p>
    <w:p>
      <w:pPr>
        <w:pStyle w:val="Compact"/>
        <w:numPr>
          <w:ilvl w:val="0"/>
          <w:numId w:val="1002"/>
        </w:numPr>
      </w:pPr>
      <w:r>
        <w:t xml:space="preserve">Served as analytics liaison across teams to align reporting needs and delivery.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and Azure Web App exports, reducing manual effort across teams.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CRG band renewal in R, reducing runtime from 8 hours to under 1 minute.</w:t>
      </w:r>
    </w:p>
    <w:p>
      <w:pPr>
        <w:pStyle w:val="Compact"/>
        <w:numPr>
          <w:ilvl w:val="0"/>
          <w:numId w:val="1003"/>
        </w:numPr>
      </w:pPr>
      <w:r>
        <w:t xml:space="preserve">Automated demographic and plan risk factor workflows and forecasting models with Excel/R integration.</w:t>
      </w:r>
    </w:p>
    <w:p>
      <w:pPr>
        <w:pStyle w:val="Compact"/>
        <w:numPr>
          <w:ilvl w:val="0"/>
          <w:numId w:val="1003"/>
        </w:numPr>
      </w:pPr>
      <w:r>
        <w:t xml:space="preserve">Automated CRG proposal and mental health parity processes; documented methods and led stakeholder walkthroughs.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using KS tests and MLE for actuarial modeling.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-exam-p-fm-srm"/>
    <w:p>
      <w:pPr>
        <w:pStyle w:val="Heading3"/>
      </w:pPr>
      <w:r>
        <w:t xml:space="preserve">Passed 3 Actuarial Exams (Exam P, FM, SRM)</w:t>
      </w:r>
    </w:p>
    <w:bookmarkEnd w:id="31"/>
    <w:bookmarkEnd w:id="32"/>
    <w:bookmarkStart w:id="33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33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2025-12-28T22:40:46Z</dcterms:created>
  <dcterms:modified xsi:type="dcterms:W3CDTF">2025-12-28T22:40:46Z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