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CAES Construction and Operating Costs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https://gemini.google.com/app/d78db408c50f2e0d</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want to find some recent construction and operating costs for compressed airs energy storage system. What values and sources can you find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Construction and operating costs for Compressed Air Energy Storage (CAES) depend heavily on two factors: </w:t>
      </w:r>
      <w:r w:rsidDel="00000000" w:rsidR="00000000" w:rsidRPr="00000000">
        <w:rPr>
          <w:b w:val="1"/>
          <w:bCs w:val="1"/>
          <w:rtl w:val="0"/>
        </w:rPr>
        <w:t xml:space="preserve">system architecture</w:t>
      </w:r>
      <w:r w:rsidDel="00000000" w:rsidR="00000000" w:rsidRPr="00000000">
        <w:rPr>
          <w:rtl w:val="0"/>
        </w:rPr>
        <w:t xml:space="preserve"> (legacy gas-fired diabatic vs. zero-carbon adiabatic) and </w:t>
      </w:r>
      <w:r w:rsidDel="00000000" w:rsidR="00000000" w:rsidRPr="00000000">
        <w:rPr>
          <w:b w:val="1"/>
          <w:bCs w:val="1"/>
          <w:rtl w:val="0"/>
        </w:rPr>
        <w:t xml:space="preserve">geology</w:t>
      </w:r>
      <w:r w:rsidDel="00000000" w:rsidR="00000000" w:rsidRPr="00000000">
        <w:rPr>
          <w:rtl w:val="0"/>
        </w:rPr>
        <w:t xml:space="preserve"> (existing salt domes vs. purpose-mined hard rock caverns). Because the underground storage reservoir is relatively inexpensive to expand once the surface turbomachinery is built, CAES exhibits steeply declining per-kWh costs as storage duration increases beyond 8 to 10 hours.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Construction Costs (CAPEX) by Technology Variant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grid-storage economics, CAES capital expenditure is split into </w:t>
      </w:r>
      <w:r w:rsidDel="00000000" w:rsidR="00000000" w:rsidRPr="00000000">
        <w:rPr>
          <w:b w:val="1"/>
          <w:bCs w:val="1"/>
          <w:rtl w:val="0"/>
        </w:rPr>
        <w:t xml:space="preserve">power island costs</w:t>
      </w:r>
      <w:r w:rsidDel="00000000" w:rsidR="00000000" w:rsidRPr="00000000">
        <w:rPr>
          <w:rtl w:val="0"/>
        </w:rPr>
        <w:t xml:space="preserve"> ($/kW for compressors, expanders, heat exchangers, and grid interconnection) and </w:t>
      </w:r>
      <w:r w:rsidDel="00000000" w:rsidR="00000000" w:rsidRPr="00000000">
        <w:rPr>
          <w:b w:val="1"/>
          <w:bCs w:val="1"/>
          <w:rtl w:val="0"/>
        </w:rPr>
        <w:t xml:space="preserve">storage reservoir costs</w:t>
      </w:r>
      <w:r w:rsidDel="00000000" w:rsidR="00000000" w:rsidRPr="00000000">
        <w:rPr>
          <w:rtl w:val="0"/>
        </w:rPr>
        <w:t xml:space="preserve"> ($/kWh for cavern solution-mining or rock excavation).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1"/>
        <w:tblW w:w="9360.000000000002"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System Variant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Power Island ($/kW)</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Cavern / Storage ($/kWh)</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Total Installed ($/kW, 8–10 hr)</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Total Installed ($/kWh, 8–10 hr)</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Round-Trip Efficiency</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Primary Sources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Diabatic CAES</w:t>
            </w:r>
            <w:r w:rsidDel="00000000" w:rsidR="00000000" w:rsidRPr="00000000">
              <w:rPr>
                <w:rtl w:val="0"/>
              </w:rPr>
              <w:t xml:space="preserve"> (Salt Cavern, Gas-Assist)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$900 – $1,350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 – $15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$1,150 – $1,550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$115 – $155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42% – 54%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PNNL (ESGC Database v2024), Black &amp; Veatch</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Adiabatic CAES (A-CAES)</w:t>
            </w:r>
            <w:r w:rsidDel="00000000" w:rsidR="00000000" w:rsidRPr="00000000">
              <w:rPr>
                <w:rtl w:val="0"/>
              </w:rPr>
              <w:t xml:space="preserve"> (Salt Cavern + Thermal Store)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$650 – $2,000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 – $25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$700 – $2,250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$115 – $250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60% – 72%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Chinese 300–600 MW Demonstrations (2024–2026), Industry Benchmarks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Advanced A-CAES</w:t>
            </w:r>
            <w:r w:rsidDel="00000000" w:rsidR="00000000" w:rsidRPr="00000000">
              <w:rPr>
                <w:rtl w:val="0"/>
              </w:rPr>
              <w:t xml:space="preserve"> (Purpose-Mined Hard Rock)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$1,800 – $2,400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$40 – $80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$3,000 – $3,500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$300 – $440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60% – 65%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Hydrostor Utility Filings, US DOE LPO (2024–2025)</w:t>
            </w:r>
          </w:p>
        </w:tc>
      </w:tr>
    </w:tbl>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Component Breakdown (Benchmark Salt-Cavern System)</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According to the </w:t>
      </w:r>
      <w:r w:rsidDel="00000000" w:rsidR="00000000" w:rsidRPr="00000000">
        <w:rPr>
          <w:b w:val="1"/>
          <w:bCs w:val="1"/>
          <w:rtl w:val="0"/>
        </w:rPr>
        <w:t xml:space="preserve">Pacific Northwest National Laboratory (PNNL)</w:t>
      </w:r>
      <w:r w:rsidDel="00000000" w:rsidR="00000000" w:rsidRPr="00000000">
        <w:rPr>
          <w:rtl w:val="0"/>
        </w:rPr>
        <w:t xml:space="preserve"> </w:t>
      </w:r>
      <w:r w:rsidDel="00000000" w:rsidR="00000000" w:rsidRPr="00000000">
        <w:rPr>
          <w:i w:val="1"/>
          <w:iCs w:val="1"/>
          <w:rtl w:val="0"/>
        </w:rPr>
        <w:t xml:space="preserve">Energy Storage Cost and Performance Database</w:t>
      </w:r>
      <w:r w:rsidDel="00000000" w:rsidR="00000000" w:rsidRPr="00000000">
        <w:rPr>
          <w:rtl w:val="0"/>
        </w:rPr>
        <w:t xml:space="preserve">, a standard utility-scale salt-cavern CAES installation breaks down into the following direct and indirect capital components:</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Power Island Equipment ($450 – $620/kW):</w:t>
      </w:r>
      <w:r w:rsidDel="00000000" w:rsidR="00000000" w:rsidRPr="00000000">
        <w:rPr>
          <w:rtl w:val="0"/>
        </w:rPr>
        <w:t xml:space="preserve"> Includes the multi-stage compression train (~</w:t>
      </w:r>
      <m:oMath>
        <m:r>
          <w:rPr/>
          <m:t xml:space="preserve">160–</m:t>
        </m:r>
      </m:oMath>
      <w:r w:rsidDel="00000000" w:rsidR="00000000" w:rsidRPr="00000000">
        <w:rPr>
          <w:rtl w:val="0"/>
        </w:rPr>
        <w:t xml:space="preserve">240/kW) and expansion turbine/generator train (~</w:t>
      </w:r>
      <m:oMath>
        <m:r>
          <w:rPr/>
          <m:t xml:space="preserve">290–</m:t>
        </m:r>
      </m:oMath>
      <w:r w:rsidDel="00000000" w:rsidR="00000000" w:rsidRPr="00000000">
        <w:rPr>
          <w:rtl w:val="0"/>
        </w:rPr>
        <w:t xml:space="preserve">380/kW). For Adiabatic systems, thermal energy storage (TES) vessels (molten salt, pressurized water, or packed-bed rock) add roughly </w:t>
      </w:r>
      <w:r w:rsidDel="00000000" w:rsidR="00000000" w:rsidRPr="00000000">
        <w:rPr>
          <w:b w:val="1"/>
          <w:bCs w:val="1"/>
          <w:rtl w:val="0"/>
        </w:rPr>
        <w:t xml:space="preserve">$300 – $600/kW</w:t>
      </w:r>
      <w:r w:rsidDel="00000000" w:rsidR="00000000" w:rsidRPr="00000000">
        <w:rPr>
          <w:rtl w:val="0"/>
        </w:rPr>
        <w:t xml:space="preserve"> to the power island.</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Balance of Plant (BOP) &amp; Civil Construction ($300 – $550/kW):</w:t>
      </w:r>
      <w:r w:rsidDel="00000000" w:rsidR="00000000" w:rsidRPr="00000000">
        <w:rPr>
          <w:rtl w:val="0"/>
        </w:rPr>
        <w:t xml:space="preserve"> Mechanical/electrical procurement, civil works, piping, and site permitting.</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Underground Reservoir ($2 – $22/kWh in salt; $40 – $80/kWh in rock):</w:t>
      </w:r>
      <w:r w:rsidDel="00000000" w:rsidR="00000000" w:rsidRPr="00000000">
        <w:rPr>
          <w:rtl w:val="0"/>
        </w:rPr>
        <w:t xml:space="preserve"> Solution-mining a domal or bedded salt cavern is the cheapest option (</w:t>
      </w:r>
      <m:oMath>
        <m:r>
          <w:rPr/>
          <m:t xml:space="preserve">2–</m:t>
        </m:r>
      </m:oMath>
      <w:r w:rsidDel="00000000" w:rsidR="00000000" w:rsidRPr="00000000">
        <w:rPr>
          <w:rtl w:val="0"/>
        </w:rPr>
        <w:t xml:space="preserve">15/kWh for large 10+ hour volumes). Purpose-excavating a hard-rock cavern with hydrostatic compensation (used where salt geology is unavailable) increases underground civil costs significantly.</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Substation &amp; Transmission Interconnection ($130 – $150/kW):</w:t>
      </w:r>
      <w:r w:rsidDel="00000000" w:rsidR="00000000" w:rsidRPr="00000000">
        <w:rPr>
          <w:rtl w:val="0"/>
        </w:rPr>
        <w:t xml:space="preserve"> Switchgear, transformers, and high-voltage tie-in lines.</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Recent Real-World Project Benchmarks (2024–2026)</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Recent commercial deployments in China and late-stage permitted projects in the United States illustrate the cost spread between utilizing existing salt caverns in lower-cost manufacturing regions versus excavating new hard-rock caverns in Western markets:</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Feicheng 300 MW / 1,800 MWh A-CAES Plant (Shandong, China — Commissioned 2024):</w:t>
      </w:r>
      <w:r w:rsidDel="00000000" w:rsidR="00000000" w:rsidRPr="00000000">
        <w:rPr>
          <w:rtl w:val="0"/>
        </w:rPr>
        <w:t xml:space="preserve"> Built using underground salt caverns and high-temperature thermal storage with a design efficiency of </w:t>
      </w:r>
      <w:r w:rsidDel="00000000" w:rsidR="00000000" w:rsidRPr="00000000">
        <w:rPr>
          <w:b w:val="1"/>
          <w:bCs w:val="1"/>
          <w:rtl w:val="0"/>
        </w:rPr>
        <w:t xml:space="preserve">72.1%</w:t>
      </w:r>
      <w:r w:rsidDel="00000000" w:rsidR="00000000" w:rsidRPr="00000000">
        <w:rPr>
          <w:rtl w:val="0"/>
        </w:rPr>
        <w:t xml:space="preserve">. Total reported investment was </w:t>
      </w:r>
      <w:r w:rsidDel="00000000" w:rsidR="00000000" w:rsidRPr="00000000">
        <w:rPr>
          <w:b w:val="1"/>
          <w:bCs w:val="1"/>
          <w:rtl w:val="0"/>
        </w:rPr>
        <w:t xml:space="preserve">1.496 billion RMB (~$207 million USD)</w:t>
      </w:r>
      <w:r w:rsidDel="00000000" w:rsidR="00000000" w:rsidRPr="00000000">
        <w:rPr>
          <w:rtl w:val="0"/>
        </w:rPr>
        <w:t xml:space="preserve">, equating to </w:t>
      </w:r>
      <w:r w:rsidDel="00000000" w:rsidR="00000000" w:rsidRPr="00000000">
        <w:rPr>
          <w:b w:val="1"/>
          <w:bCs w:val="1"/>
          <w:rtl w:val="0"/>
        </w:rPr>
        <w:t xml:space="preserve">$690/kW</w:t>
      </w:r>
      <w:r w:rsidDel="00000000" w:rsidR="00000000" w:rsidRPr="00000000">
        <w:rPr>
          <w:rtl w:val="0"/>
        </w:rPr>
        <w:t xml:space="preserve"> or </w:t>
      </w:r>
      <w:r w:rsidDel="00000000" w:rsidR="00000000" w:rsidRPr="00000000">
        <w:rPr>
          <w:b w:val="1"/>
          <w:bCs w:val="1"/>
          <w:rtl w:val="0"/>
        </w:rPr>
        <w:t xml:space="preserve">$115/kWh</w:t>
      </w:r>
      <w:r w:rsidDel="00000000" w:rsidR="00000000" w:rsidRPr="00000000">
        <w:rPr>
          <w:rtl w:val="0"/>
        </w:rPr>
        <w:t xml:space="preserve"> for a 6-hour duration.</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Jiangsu 600 MW / 2,400 MWh Salt-Cavern CAES Plant (China — Full Operation 2025/2026):</w:t>
      </w:r>
      <w:r w:rsidDel="00000000" w:rsidR="00000000" w:rsidRPr="00000000">
        <w:rPr>
          <w:rtl w:val="0"/>
        </w:rPr>
        <w:t xml:space="preserve"> The world's largest CAES installation reported a total capital investment of </w:t>
      </w:r>
      <w:r w:rsidDel="00000000" w:rsidR="00000000" w:rsidRPr="00000000">
        <w:rPr>
          <w:b w:val="1"/>
          <w:bCs w:val="1"/>
          <w:rtl w:val="0"/>
        </w:rPr>
        <w:t xml:space="preserve">$520 million USD</w:t>
      </w:r>
      <w:r w:rsidDel="00000000" w:rsidR="00000000" w:rsidRPr="00000000">
        <w:rPr>
          <w:rtl w:val="0"/>
        </w:rPr>
        <w:t xml:space="preserve">, translating to </w:t>
      </w:r>
      <w:r w:rsidDel="00000000" w:rsidR="00000000" w:rsidRPr="00000000">
        <w:rPr>
          <w:b w:val="1"/>
          <w:bCs w:val="1"/>
          <w:rtl w:val="0"/>
        </w:rPr>
        <w:t xml:space="preserve">$867/kW</w:t>
      </w:r>
      <w:r w:rsidDel="00000000" w:rsidR="00000000" w:rsidRPr="00000000">
        <w:rPr>
          <w:rtl w:val="0"/>
        </w:rPr>
        <w:t xml:space="preserve"> or </w:t>
      </w:r>
      <w:r w:rsidDel="00000000" w:rsidR="00000000" w:rsidRPr="00000000">
        <w:rPr>
          <w:b w:val="1"/>
          <w:bCs w:val="1"/>
          <w:rtl w:val="0"/>
        </w:rPr>
        <w:t xml:space="preserve">$217/kWh</w:t>
      </w:r>
      <w:r w:rsidDel="00000000" w:rsidR="00000000" w:rsidRPr="00000000">
        <w:rPr>
          <w:rtl w:val="0"/>
        </w:rPr>
        <w:t xml:space="preserve"> (4-hour duration per unit).</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Hydrostor Willow Rock Energy Storage Center (California, USA — CEC Certified Dec 2025):</w:t>
      </w:r>
      <w:r w:rsidDel="00000000" w:rsidR="00000000" w:rsidRPr="00000000">
        <w:rPr>
          <w:rtl w:val="0"/>
        </w:rPr>
        <w:t xml:space="preserve"> A 500 MW / 4,000 MWh (8-hour) Advanced A-CAES facility using a purpose-mined hard-rock cavern with hydrostatic pressure compensation. Backed by a </w:t>
      </w:r>
      <w:r w:rsidDel="00000000" w:rsidR="00000000" w:rsidRPr="00000000">
        <w:rPr>
          <w:b w:val="1"/>
          <w:bCs w:val="1"/>
          <w:rtl w:val="0"/>
        </w:rPr>
        <w:t xml:space="preserve">$1.76 billion USD</w:t>
      </w:r>
      <w:r w:rsidDel="00000000" w:rsidR="00000000" w:rsidRPr="00000000">
        <w:rPr>
          <w:rtl w:val="0"/>
        </w:rPr>
        <w:t xml:space="preserve"> conditional loan guarantee from the U.S. Department of Energy (DOE) in early 2025, company disclosures place turnkey 8-to-10-hour system costs in North America at approximately </w:t>
      </w:r>
      <w:r w:rsidDel="00000000" w:rsidR="00000000" w:rsidRPr="00000000">
        <w:rPr>
          <w:b w:val="1"/>
          <w:bCs w:val="1"/>
          <w:rtl w:val="0"/>
        </w:rPr>
        <w:t xml:space="preserve">$3,000 to $3,500/kW</w:t>
      </w:r>
      <w:r w:rsidDel="00000000" w:rsidR="00000000" w:rsidRPr="00000000">
        <w:rPr>
          <w:rtl w:val="0"/>
        </w:rPr>
        <w:t xml:space="preserve"> (</w:t>
      </w:r>
      <w:r w:rsidDel="00000000" w:rsidR="00000000" w:rsidRPr="00000000">
        <w:rPr>
          <w:b w:val="1"/>
          <w:bCs w:val="1"/>
          <w:rtl w:val="0"/>
        </w:rPr>
        <w:t xml:space="preserve">$300 to $438/kWh</w:t>
      </w:r>
      <w:r w:rsidDel="00000000" w:rsidR="00000000" w:rsidRPr="00000000">
        <w:rPr>
          <w:rtl w:val="0"/>
        </w:rPr>
        <w:t xml:space="preserve">).</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Operating &amp; Maintenance Costs (OPEX) &amp; LCOS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Operating costs for CAES consist of fixed annual maintenance on rotating turbomachinery, variable wear-and-tear per megawatt-hour discharged, charging electricity costs, and—exclusively for legacy diabatic plants—natural gas fuel costs.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Operating Cost Metric</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Diabatic CAES (Gas-Fired)</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Adiabatic CAES (Zero-Carbon)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Reference Source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Fixed O&amp;M (FOM)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$12.30 – $20.10 / kW-yr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$15.00 – $25.00 / kW-yr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PNNL, NREL ATB</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Non-Fuel Variable O&amp;M (VOM)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$1.70 – $2.50 / MWh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$2.00 – $3.50 / MWh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PNNL (Aquino et al. / Mongird et al.)</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Heat Rate (Natural Gas Fuel)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~3,900 – 4,300 BTU / kWh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 BTU / kWh (No fuel burn)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PNNL, EPRI</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Project Lifetime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30 – 40 years (Cavern: 50+ yrs)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30 – 50+ years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PNNL, Hydrostor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Levelized Cost of Storage (LCOS)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$100 – $140 / MWh</w:t>
            </w:r>
            <w:r w:rsidDel="00000000" w:rsidR="00000000" w:rsidRPr="00000000">
              <w:rPr>
                <w:rtl w:val="0"/>
              </w:rPr>
              <w:t xml:space="preserve"> (</w:t>
            </w:r>
            <m:oMath>
              <m:r>
                <w:rPr/>
                <m:t xml:space="preserve">0.10–</m:t>
              </m:r>
            </m:oMath>
            <w:r w:rsidDel="00000000" w:rsidR="00000000" w:rsidRPr="00000000">
              <w:rPr>
                <w:rtl w:val="0"/>
              </w:rPr>
              <w:t xml:space="preserve">0.14/kWh)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$130 – $190 / MWh</w:t>
            </w:r>
            <w:r w:rsidDel="00000000" w:rsidR="00000000" w:rsidRPr="00000000">
              <w:rPr>
                <w:rtl w:val="0"/>
              </w:rPr>
              <w:t xml:space="preserve"> (</w:t>
            </w:r>
            <m:oMath>
              <m:r>
                <w:rPr/>
                <m:t xml:space="preserve">0.13–</m:t>
              </m:r>
            </m:oMath>
            <w:r w:rsidDel="00000000" w:rsidR="00000000" w:rsidRPr="00000000">
              <w:rPr>
                <w:rtl w:val="0"/>
              </w:rPr>
              <w:t xml:space="preserve">0.19/kWh)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PNNL (10-hr, 1,000 MW baseline), Industry Models</w:t>
            </w:r>
          </w:p>
        </w:tc>
      </w:tr>
    </w:tbl>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Operational Cost Drivers</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Charging Electricity &amp; Efficiency Tax:</w:t>
      </w:r>
      <w:r w:rsidDel="00000000" w:rsidR="00000000" w:rsidRPr="00000000">
        <w:rPr>
          <w:rtl w:val="0"/>
        </w:rPr>
        <w:t xml:space="preserve"> Because A-CAES has a round-trip efficiency of </w:t>
      </w:r>
      <w:r w:rsidDel="00000000" w:rsidR="00000000" w:rsidRPr="00000000">
        <w:rPr>
          <w:b w:val="1"/>
          <w:bCs w:val="1"/>
          <w:rtl w:val="0"/>
        </w:rPr>
        <w:t xml:space="preserve">60%–70%</w:t>
      </w:r>
      <w:r w:rsidDel="00000000" w:rsidR="00000000" w:rsidRPr="00000000">
        <w:rPr>
          <w:rtl w:val="0"/>
        </w:rPr>
        <w:t xml:space="preserve"> (compared to </w:t>
      </w:r>
      <w:r w:rsidDel="00000000" w:rsidR="00000000" w:rsidRPr="00000000">
        <w:rPr>
          <w:b w:val="1"/>
          <w:bCs w:val="1"/>
          <w:rtl w:val="0"/>
        </w:rPr>
        <w:t xml:space="preserve">85%–90%</w:t>
      </w:r>
      <w:r w:rsidDel="00000000" w:rsidR="00000000" w:rsidRPr="00000000">
        <w:rPr>
          <w:rtl w:val="0"/>
        </w:rPr>
        <w:t xml:space="preserve"> for Lithium Iron Phosphate [LFP] batteries), it loses roughly 30% to 40% of input electricity per cycle. Consequently, CAES relies on charging during periods of low or negative wholesale electricity prices (e.g., midday solar or overnight wind curtailment).</w:t>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Subsurface &amp; Rotating Equipment Longevity:</w:t>
      </w:r>
      <w:r w:rsidDel="00000000" w:rsidR="00000000" w:rsidRPr="00000000">
        <w:rPr>
          <w:rtl w:val="0"/>
        </w:rPr>
        <w:t xml:space="preserve"> Unlike lithium-ion batteries—which require augmentation or cell replacement every 10 to 15 years—CAES uses standard industrial air compressors, turbines, and underground caverns rated for </w:t>
      </w:r>
      <w:r w:rsidDel="00000000" w:rsidR="00000000" w:rsidRPr="00000000">
        <w:rPr>
          <w:b w:val="1"/>
          <w:bCs w:val="1"/>
          <w:rtl w:val="0"/>
        </w:rPr>
        <w:t xml:space="preserve">30 to 50+ years</w:t>
      </w:r>
      <w:r w:rsidDel="00000000" w:rsidR="00000000" w:rsidRPr="00000000">
        <w:rPr>
          <w:rtl w:val="0"/>
        </w:rPr>
        <w:t xml:space="preserve"> with zero capacity degradation over thousands of cycles.</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Interactive CAPEX &amp; Cost Scaling Explorer</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CAES separates power generation equipment from the underground storage volume, its cost per kilowatt-hour drops sharply as storage duration increases. Use the interactive model below to compare how CAES construction and levelized operating costs scale across different durations and geological configurations relative to utility-scale LFP battery storage: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is a sensible and defendable discount rate to use in an NPV calculation for an energy project in New Zealand</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Selecting a defendable discount rate for a New Zealand energy project depends on </w:t>
      </w:r>
      <w:r w:rsidDel="00000000" w:rsidR="00000000" w:rsidRPr="00000000">
        <w:rPr>
          <w:b w:val="1"/>
          <w:bCs w:val="1"/>
          <w:rtl w:val="0"/>
        </w:rPr>
        <w:t xml:space="preserve">who is evaluating the project</w:t>
      </w:r>
      <w:r w:rsidDel="00000000" w:rsidR="00000000" w:rsidRPr="00000000">
        <w:rPr>
          <w:rtl w:val="0"/>
        </w:rPr>
        <w:t xml:space="preserve"> (regulated monopoly, private commercial developer, or public policy agency) and </w:t>
      </w:r>
      <w:r w:rsidDel="00000000" w:rsidR="00000000" w:rsidRPr="00000000">
        <w:rPr>
          <w:b w:val="1"/>
          <w:bCs w:val="1"/>
          <w:rtl w:val="0"/>
        </w:rPr>
        <w:t xml:space="preserve">how cash flows are modeled</w:t>
      </w:r>
      <w:r w:rsidDel="00000000" w:rsidR="00000000" w:rsidRPr="00000000">
        <w:rPr>
          <w:rtl w:val="0"/>
        </w:rPr>
        <w:t xml:space="preserve"> (real vs. nominal, pre-tax vs. post-tax).</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For a standard commercial renewable generation or storage project in New Zealand, the most widely accepted and defendable benchmark is a </w:t>
      </w:r>
      <w:r w:rsidDel="00000000" w:rsidR="00000000" w:rsidRPr="00000000">
        <w:rPr>
          <w:b w:val="1"/>
          <w:bCs w:val="1"/>
          <w:rtl w:val="0"/>
        </w:rPr>
        <w:t xml:space="preserve">post-tax nominal Weighted Average Cost of Capital (WACC) between 7.0% and 8.5%</w:t>
      </w:r>
      <w:r w:rsidDel="00000000" w:rsidR="00000000" w:rsidRPr="00000000">
        <w:rPr>
          <w:rtl w:val="0"/>
        </w:rPr>
        <w:t xml:space="preserve"> (or </w:t>
      </w:r>
      <w:r w:rsidDel="00000000" w:rsidR="00000000" w:rsidRPr="00000000">
        <w:rPr>
          <w:b w:val="1"/>
          <w:bCs w:val="1"/>
          <w:rtl w:val="0"/>
        </w:rPr>
        <w:t xml:space="preserve">5.0% to 6.5% real</w:t>
      </w:r>
      <w:r w:rsidDel="00000000" w:rsidR="00000000" w:rsidRPr="00000000">
        <w:rPr>
          <w:rtl w:val="0"/>
        </w:rPr>
        <w:t xml:space="preserve">), whereas regulated electricity network investments use </w:t>
      </w:r>
      <w:r w:rsidDel="00000000" w:rsidR="00000000" w:rsidRPr="00000000">
        <w:rPr>
          <w:b w:val="1"/>
          <w:bCs w:val="1"/>
          <w:rtl w:val="0"/>
        </w:rPr>
        <w:t xml:space="preserve">5.9% to 7.1% nominal</w:t>
      </w:r>
      <w:r w:rsidDel="00000000" w:rsidR="00000000" w:rsidRPr="00000000">
        <w:rPr>
          <w:rtl w:val="0"/>
        </w:rPr>
        <w:t xml:space="preserve">.</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Summary of Defendable NZ Energy Discount Rates (2025–2026)</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3"/>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Project Category</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Recommended Discount Rate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Basis / Convention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Primary NZ Reference &amp; Authority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Regulated Electricity Networks</w:t>
            </w:r>
            <w:r w:rsidDel="00000000" w:rsidR="00000000" w:rsidRPr="00000000">
              <w:rPr>
                <w:rtl w:val="0"/>
              </w:rPr>
              <w:t xml:space="preserve"> (EDBs &amp; Transpower)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5.90% – 6.02%</w:t>
            </w:r>
            <w:r w:rsidDel="00000000" w:rsidR="00000000" w:rsidRPr="00000000">
              <w:rPr>
                <w:rtl w:val="0"/>
              </w:rPr>
              <w:t xml:space="preserve"> (Midpoint)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6.44% – 6.63%</w:t>
            </w:r>
            <w:r w:rsidDel="00000000" w:rsidR="00000000" w:rsidRPr="00000000">
              <w:rPr>
                <w:rtl w:val="0"/>
              </w:rPr>
              <w:t xml:space="preserve"> (65th–75th %ile)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Post-tax </w:t>
            </w:r>
            <w:r w:rsidDel="00000000" w:rsidR="00000000" w:rsidRPr="00000000">
              <w:rPr>
                <w:b w:val="1"/>
                <w:bCs w:val="1"/>
                <w:rtl w:val="0"/>
              </w:rPr>
              <w:t xml:space="preserve">Nominal</w:t>
            </w:r>
            <w:r w:rsidDel="00000000" w:rsidR="00000000" w:rsidRPr="00000000">
              <w:rPr>
                <w:rtl w:val="0"/>
              </w:rPr>
              <w:t xml:space="preserve"> WACC</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(Vanilla WACC: 6.53%–7.26%)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NZ Commerce Commission</w:t>
            </w:r>
            <w:r w:rsidDel="00000000" w:rsidR="00000000" w:rsidRPr="00000000">
              <w:rPr>
                <w:rtl w:val="0"/>
              </w:rPr>
              <w:t xml:space="preserve"> (DPP4 / RCP4 Determinations for 2025–2030 &amp; DY2027 ID)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National Grid Investment Test</w:t>
            </w:r>
            <w:r w:rsidDel="00000000" w:rsidR="00000000" w:rsidRPr="00000000">
              <w:rPr>
                <w:rtl w:val="0"/>
              </w:rPr>
              <w:t xml:space="preserve"> (Transpower Major Capex)</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7.0%</w:t>
            </w:r>
            <w:r w:rsidDel="00000000" w:rsidR="00000000" w:rsidRPr="00000000">
              <w:rPr>
                <w:rtl w:val="0"/>
              </w:rPr>
              <w:t xml:space="preserve"> (Central)</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(Sensitivities at 4.0% &amp; 10.0%)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Pre-tax </w:t>
            </w:r>
            <w:r w:rsidDel="00000000" w:rsidR="00000000" w:rsidRPr="00000000">
              <w:rPr>
                <w:b w:val="1"/>
                <w:bCs w:val="1"/>
                <w:rtl w:val="0"/>
              </w:rPr>
              <w:t xml:space="preserve">Real</w:t>
            </w:r>
            <w:r w:rsidDel="00000000" w:rsidR="00000000" w:rsidRPr="00000000">
              <w:rPr>
                <w:rtl w:val="0"/>
              </w:rPr>
              <w:t xml:space="preserve"> Discount Rate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Commerce Commission Capex IM</w:t>
            </w:r>
            <w:r w:rsidDel="00000000" w:rsidR="00000000" w:rsidRPr="00000000">
              <w:rPr>
                <w:rtl w:val="0"/>
              </w:rPr>
              <w:t xml:space="preserve"> &amp; </w:t>
            </w:r>
            <w:r w:rsidDel="00000000" w:rsidR="00000000" w:rsidRPr="00000000">
              <w:rPr>
                <w:b w:val="1"/>
                <w:bCs w:val="1"/>
                <w:rtl w:val="0"/>
              </w:rPr>
              <w:t xml:space="preserve">Electricity Authority</w:t>
            </w:r>
            <w:r w:rsidDel="00000000" w:rsidR="00000000" w:rsidRPr="00000000">
              <w:rPr>
                <w:rtl w:val="0"/>
              </w:rPr>
              <w:t xml:space="preserve"> (Grid Investment Test)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Established Gentailer / Contracted Generation</w:t>
            </w:r>
            <w:r w:rsidDel="00000000" w:rsidR="00000000" w:rsidRPr="00000000">
              <w:rPr>
                <w:rtl w:val="0"/>
              </w:rPr>
              <w:t xml:space="preserve"> (Wind, Solar, Hydro, Geothermal)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6.8% – 8.0%</w:t>
            </w:r>
            <w:r w:rsidDel="00000000" w:rsidR="00000000" w:rsidRPr="00000000">
              <w:rPr>
                <w:rtl w:val="0"/>
              </w:rPr>
              <w:t xml:space="preserve"> (Nominal)</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4.7% – 5.9%</w:t>
            </w:r>
            <w:r w:rsidDel="00000000" w:rsidR="00000000" w:rsidRPr="00000000">
              <w:rPr>
                <w:rtl w:val="0"/>
              </w:rPr>
              <w:t xml:space="preserve"> (Real)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Post-tax </w:t>
            </w:r>
            <w:r w:rsidDel="00000000" w:rsidR="00000000" w:rsidRPr="00000000">
              <w:rPr>
                <w:b w:val="1"/>
                <w:bCs w:val="1"/>
                <w:rtl w:val="0"/>
              </w:rPr>
              <w:t xml:space="preserve">Nominal</w:t>
            </w:r>
            <w:r w:rsidDel="00000000" w:rsidR="00000000" w:rsidRPr="00000000">
              <w:rPr>
                <w:rtl w:val="0"/>
              </w:rPr>
              <w:t xml:space="preserve"> or </w:t>
            </w:r>
            <w:r w:rsidDel="00000000" w:rsidR="00000000" w:rsidRPr="00000000">
              <w:rPr>
                <w:b w:val="1"/>
                <w:bCs w:val="1"/>
                <w:rtl w:val="0"/>
              </w:rPr>
              <w:t xml:space="preserve">Real</w:t>
            </w:r>
            <w:r w:rsidDel="00000000" w:rsidR="00000000" w:rsidRPr="00000000">
              <w:rPr>
                <w:rtl w:val="0"/>
              </w:rPr>
              <w:t xml:space="preserve"> WACC</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NZX Gentailer Benchmarks</w:t>
            </w:r>
            <w:r w:rsidDel="00000000" w:rsidR="00000000" w:rsidRPr="00000000">
              <w:rPr>
                <w:rtl w:val="0"/>
              </w:rPr>
              <w:t xml:space="preserve"> (Meridian, Contact, Mercury, Genesis WACC disclosures ~7.0%–7.8%) &amp; </w:t>
            </w:r>
            <w:r w:rsidDel="00000000" w:rsidR="00000000" w:rsidRPr="00000000">
              <w:rPr>
                <w:b w:val="1"/>
                <w:bCs w:val="1"/>
                <w:rtl w:val="0"/>
              </w:rPr>
              <w:t xml:space="preserve">MBIE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Merchant / Emerging Energy Tech</w:t>
            </w:r>
            <w:r w:rsidDel="00000000" w:rsidR="00000000" w:rsidRPr="00000000">
              <w:rPr>
                <w:rtl w:val="0"/>
              </w:rPr>
              <w:t xml:space="preserve"> (Uncontracted BESS, CAES, Offshore Wind, Hydrogen)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8.5% – 10.5%+</w:t>
            </w:r>
            <w:r w:rsidDel="00000000" w:rsidR="00000000" w:rsidRPr="00000000">
              <w:rPr>
                <w:rtl w:val="0"/>
              </w:rPr>
              <w:t xml:space="preserve"> (Nominal)</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6.4% – 8.3%+</w:t>
            </w:r>
            <w:r w:rsidDel="00000000" w:rsidR="00000000" w:rsidRPr="00000000">
              <w:rPr>
                <w:rtl w:val="0"/>
              </w:rPr>
              <w:t xml:space="preserve"> (Real)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Post-tax </w:t>
            </w:r>
            <w:r w:rsidDel="00000000" w:rsidR="00000000" w:rsidRPr="00000000">
              <w:rPr>
                <w:b w:val="1"/>
                <w:bCs w:val="1"/>
                <w:rtl w:val="0"/>
              </w:rPr>
              <w:t xml:space="preserve">Nominal</w:t>
            </w:r>
            <w:r w:rsidDel="00000000" w:rsidR="00000000" w:rsidRPr="00000000">
              <w:rPr>
                <w:rtl w:val="0"/>
              </w:rPr>
              <w:t xml:space="preserve"> Hurdle Rate (includes 100–250 bps development/merchant premium)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Project Finance &amp; Independent Valuers</w:t>
            </w:r>
            <w:r w:rsidDel="00000000" w:rsidR="00000000" w:rsidRPr="00000000">
              <w:rPr>
                <w:rtl w:val="0"/>
              </w:rPr>
              <w:t xml:space="preserve"> ( Grant Samuel, Northington Partners, Forsyth Barr)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Public Sector / Commercial Crown Proposal</w:t>
            </w:r>
            <w:r w:rsidDel="00000000" w:rsidR="00000000" w:rsidRPr="00000000">
              <w:rPr>
                <w:rtl w:val="0"/>
              </w:rPr>
              <w:t xml:space="preserve"> (Social Opportunity Cost)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8.0%</w:t>
            </w:r>
            <w:r w:rsidDel="00000000" w:rsidR="00000000" w:rsidRPr="00000000">
              <w:rPr>
                <w:rtl w:val="0"/>
              </w:rPr>
              <w:t xml:space="preserve"> (Real)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Pre-tax </w:t>
            </w:r>
            <w:r w:rsidDel="00000000" w:rsidR="00000000" w:rsidRPr="00000000">
              <w:rPr>
                <w:b w:val="1"/>
                <w:bCs w:val="1"/>
                <w:rtl w:val="0"/>
              </w:rPr>
              <w:t xml:space="preserve">Real</w:t>
            </w:r>
            <w:r w:rsidDel="00000000" w:rsidR="00000000" w:rsidRPr="00000000">
              <w:rPr>
                <w:rtl w:val="0"/>
              </w:rPr>
              <w:t xml:space="preserve"> Social Opportunity Cost (SOC)</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NZ Treasury</w:t>
            </w:r>
            <w:r w:rsidDel="00000000" w:rsidR="00000000" w:rsidRPr="00000000">
              <w:rPr>
                <w:rtl w:val="0"/>
              </w:rPr>
              <w:t xml:space="preserve"> (</w:t>
            </w:r>
            <w:r w:rsidDel="00000000" w:rsidR="00000000" w:rsidRPr="00000000">
              <w:rPr>
                <w:i w:val="1"/>
                <w:iCs w:val="1"/>
                <w:rtl w:val="0"/>
              </w:rPr>
              <w:t xml:space="preserve">Treasury Circular 2024/15</w:t>
            </w:r>
            <w:r w:rsidDel="00000000" w:rsidR="00000000" w:rsidRPr="00000000">
              <w:rPr>
                <w:rtl w:val="0"/>
              </w:rPr>
              <w:t xml:space="preserve"> — mandatory for Crown commercial/infrastructure proposals)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Public Policy / Non-Commercial</w:t>
            </w:r>
            <w:r w:rsidDel="00000000" w:rsidR="00000000" w:rsidRPr="00000000">
              <w:rPr>
                <w:rtl w:val="0"/>
              </w:rPr>
              <w:t xml:space="preserve"> (Decarbonisation / Social CBA)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2.0%</w:t>
            </w:r>
            <w:r w:rsidDel="00000000" w:rsidR="00000000" w:rsidRPr="00000000">
              <w:rPr>
                <w:rtl w:val="0"/>
              </w:rPr>
              <w:t xml:space="preserve"> (Years 1–30)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Real</w:t>
            </w:r>
            <w:r w:rsidDel="00000000" w:rsidR="00000000" w:rsidRPr="00000000">
              <w:rPr>
                <w:rtl w:val="0"/>
              </w:rPr>
              <w:t xml:space="preserve"> Social Rate of Time Preference (SRTP)</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NZ Treasury</w:t>
            </w:r>
            <w:r w:rsidDel="00000000" w:rsidR="00000000" w:rsidRPr="00000000">
              <w:rPr>
                <w:rtl w:val="0"/>
              </w:rPr>
              <w:t xml:space="preserve"> (</w:t>
            </w:r>
            <w:r w:rsidDel="00000000" w:rsidR="00000000" w:rsidRPr="00000000">
              <w:rPr>
                <w:i w:val="1"/>
                <w:iCs w:val="1"/>
                <w:rtl w:val="0"/>
              </w:rPr>
              <w:t xml:space="preserve">Updated Oct 2024 CBAx Guidance</w:t>
            </w:r>
            <w:r w:rsidDel="00000000" w:rsidR="00000000" w:rsidRPr="00000000">
              <w:rPr>
                <w:rtl w:val="0"/>
              </w:rPr>
              <w:t xml:space="preserve"> for non-commercial social/environmental benefits)</w:t>
            </w:r>
          </w:p>
        </w:tc>
      </w:tr>
    </w:tbl>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 How to Defend Your Rate by Sector</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 Regulated Transmission &amp; Distribution (Commerce Commission Anchor)</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your project connects to, substitutes for, or is funded by an Electricity Distribution Business (EDB) or Transpower (such as a non-network battery or grid stability asset), the </w:t>
      </w:r>
      <w:r w:rsidDel="00000000" w:rsidR="00000000" w:rsidRPr="00000000">
        <w:rPr>
          <w:b w:val="1"/>
          <w:bCs w:val="1"/>
          <w:rtl w:val="0"/>
        </w:rPr>
        <w:t xml:space="preserve">Commerce Commission’s Cost of Capital Input Methodologies (IMs)</w:t>
      </w:r>
      <w:r w:rsidDel="00000000" w:rsidR="00000000" w:rsidRPr="00000000">
        <w:rPr>
          <w:rtl w:val="0"/>
        </w:rPr>
        <w:t xml:space="preserve"> provide the gold-standard foundation in New Zealand:</w:t>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2025–2030 Regulatory Period (DPP4 / RCP4):</w:t>
      </w:r>
      <w:r w:rsidDel="00000000" w:rsidR="00000000" w:rsidRPr="00000000">
        <w:rPr>
          <w:rtl w:val="0"/>
        </w:rPr>
        <w:t xml:space="preserve"> The Commission set the midpoint </w:t>
      </w:r>
      <w:r w:rsidDel="00000000" w:rsidR="00000000" w:rsidRPr="00000000">
        <w:rPr>
          <w:b w:val="1"/>
          <w:bCs w:val="1"/>
          <w:rtl w:val="0"/>
        </w:rPr>
        <w:t xml:space="preserve">post-tax nominal WACC at 6.02%</w:t>
      </w:r>
      <w:r w:rsidDel="00000000" w:rsidR="00000000" w:rsidRPr="00000000">
        <w:rPr>
          <w:rtl w:val="0"/>
        </w:rPr>
        <w:t xml:space="preserve"> and </w:t>
      </w:r>
      <w:r w:rsidDel="00000000" w:rsidR="00000000" w:rsidRPr="00000000">
        <w:rPr>
          <w:b w:val="1"/>
          <w:bCs w:val="1"/>
          <w:rtl w:val="0"/>
        </w:rPr>
        <w:t xml:space="preserve">vanilla WACC at 6.68%</w:t>
      </w:r>
      <w:r w:rsidDel="00000000" w:rsidR="00000000" w:rsidRPr="00000000">
        <w:rPr>
          <w:rtl w:val="0"/>
        </w:rPr>
        <w:t xml:space="preserve"> (65th percentile post-tax WACC at </w:t>
      </w:r>
      <w:r w:rsidDel="00000000" w:rsidR="00000000" w:rsidRPr="00000000">
        <w:rPr>
          <w:b w:val="1"/>
          <w:bCs w:val="1"/>
          <w:rtl w:val="0"/>
        </w:rPr>
        <w:t xml:space="preserve">6.44%</w:t>
      </w:r>
      <w:r w:rsidDel="00000000" w:rsidR="00000000" w:rsidRPr="00000000">
        <w:rPr>
          <w:rtl w:val="0"/>
        </w:rPr>
        <w:t xml:space="preserve">), anchored on a 5-year NZ Government bond risk-free rate of </w:t>
      </w:r>
      <w:r w:rsidDel="00000000" w:rsidR="00000000" w:rsidRPr="00000000">
        <w:rPr>
          <w:b w:val="1"/>
          <w:bCs w:val="1"/>
          <w:rtl w:val="0"/>
        </w:rPr>
        <w:t xml:space="preserve">4.26%</w:t>
      </w:r>
      <w:r w:rsidDel="00000000" w:rsidR="00000000" w:rsidRPr="00000000">
        <w:rPr>
          <w:rtl w:val="0"/>
        </w:rPr>
        <w:t xml:space="preserve">, a debt premium of </w:t>
      </w:r>
      <w:r w:rsidDel="00000000" w:rsidR="00000000" w:rsidRPr="00000000">
        <w:rPr>
          <w:b w:val="1"/>
          <w:bCs w:val="1"/>
          <w:rtl w:val="0"/>
        </w:rPr>
        <w:t xml:space="preserve">1.28%</w:t>
      </w:r>
      <w:r w:rsidDel="00000000" w:rsidR="00000000" w:rsidRPr="00000000">
        <w:rPr>
          <w:rtl w:val="0"/>
        </w:rPr>
        <w:t xml:space="preserve">, an equity beta of </w:t>
      </w:r>
      <w:r w:rsidDel="00000000" w:rsidR="00000000" w:rsidRPr="00000000">
        <w:rPr>
          <w:b w:val="1"/>
          <w:bCs w:val="1"/>
          <w:rtl w:val="0"/>
        </w:rPr>
        <w:t xml:space="preserve">0.61</w:t>
      </w:r>
      <w:r w:rsidDel="00000000" w:rsidR="00000000" w:rsidRPr="00000000">
        <w:rPr>
          <w:rtl w:val="0"/>
        </w:rPr>
        <w:t xml:space="preserve">, leverage of </w:t>
      </w:r>
      <w:r w:rsidDel="00000000" w:rsidR="00000000" w:rsidRPr="00000000">
        <w:rPr>
          <w:b w:val="1"/>
          <w:bCs w:val="1"/>
          <w:rtl w:val="0"/>
        </w:rPr>
        <w:t xml:space="preserve">41%</w:t>
      </w:r>
      <w:r w:rsidDel="00000000" w:rsidR="00000000" w:rsidRPr="00000000">
        <w:rPr>
          <w:rtl w:val="0"/>
        </w:rPr>
        <w:t xml:space="preserve">, a corporate tax rate of </w:t>
      </w:r>
      <w:r w:rsidDel="00000000" w:rsidR="00000000" w:rsidRPr="00000000">
        <w:rPr>
          <w:b w:val="1"/>
          <w:bCs w:val="1"/>
          <w:rtl w:val="0"/>
        </w:rPr>
        <w:t xml:space="preserve">28%</w:t>
      </w:r>
      <w:r w:rsidDel="00000000" w:rsidR="00000000" w:rsidRPr="00000000">
        <w:rPr>
          <w:rtl w:val="0"/>
        </w:rPr>
        <w:t xml:space="preserve">, and a Tax-Adjusted Market Risk Premium (TAMRP) of </w:t>
      </w:r>
      <w:r w:rsidDel="00000000" w:rsidR="00000000" w:rsidRPr="00000000">
        <w:rPr>
          <w:b w:val="1"/>
          <w:bCs w:val="1"/>
          <w:rtl w:val="0"/>
        </w:rPr>
        <w:t xml:space="preserve">7.0%</w:t>
      </w:r>
      <w:r w:rsidDel="00000000" w:rsidR="00000000" w:rsidRPr="00000000">
        <w:rPr>
          <w:rtl w:val="0"/>
        </w:rPr>
        <w:t xml:space="preserve">.</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2026/2027 Information Disclosure Updates:</w:t>
      </w:r>
      <w:r w:rsidDel="00000000" w:rsidR="00000000" w:rsidRPr="00000000">
        <w:rPr>
          <w:rtl w:val="0"/>
        </w:rPr>
        <w:t xml:space="preserve"> In its August 2026 determination (for Disclosure Year 2027), the Commission updated Transpower's midpoint </w:t>
      </w:r>
      <w:r w:rsidDel="00000000" w:rsidR="00000000" w:rsidRPr="00000000">
        <w:rPr>
          <w:b w:val="1"/>
          <w:bCs w:val="1"/>
          <w:rtl w:val="0"/>
        </w:rPr>
        <w:t xml:space="preserve">post-tax nominal WACC to 5.90%</w:t>
      </w:r>
      <w:r w:rsidDel="00000000" w:rsidR="00000000" w:rsidRPr="00000000">
        <w:rPr>
          <w:rtl w:val="0"/>
        </w:rPr>
        <w:t xml:space="preserve"> (vanilla WACC </w:t>
      </w:r>
      <w:r w:rsidDel="00000000" w:rsidR="00000000" w:rsidRPr="00000000">
        <w:rPr>
          <w:b w:val="1"/>
          <w:bCs w:val="1"/>
          <w:rtl w:val="0"/>
        </w:rPr>
        <w:t xml:space="preserve">6.53%</w:t>
      </w:r>
      <w:r w:rsidDel="00000000" w:rsidR="00000000" w:rsidRPr="00000000">
        <w:rPr>
          <w:rtl w:val="0"/>
        </w:rPr>
        <w:t xml:space="preserve">).</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B. Commercial Generation &amp; Energy Storage (Gentailer &amp; MBIE Anchor)</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Unlike regulated lines companies, electricity generators and storage developers are exposed to wholesale spot price volatility (nodal pricing on the NZ market), hydrological swings ("dry year" risk), and construction cost overruns.</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Listed Gentailer WACC (7.0% – 7.8% Post-Tax Nominal):</w:t>
      </w:r>
      <w:r w:rsidDel="00000000" w:rsidR="00000000" w:rsidRPr="00000000">
        <w:rPr>
          <w:rtl w:val="0"/>
        </w:rPr>
        <w:t xml:space="preserve"> New Zealand's major integrated generator-retailers (Meridian, Contact, Mercury, and Genesis) report corporate post-tax nominal WACCs between </w:t>
      </w:r>
      <w:r w:rsidDel="00000000" w:rsidR="00000000" w:rsidRPr="00000000">
        <w:rPr>
          <w:b w:val="1"/>
          <w:bCs w:val="1"/>
          <w:rtl w:val="0"/>
        </w:rPr>
        <w:t xml:space="preserve">6.8% and 7.8%</w:t>
      </w:r>
      <w:r w:rsidDel="00000000" w:rsidR="00000000" w:rsidRPr="00000000">
        <w:rPr>
          <w:rtl w:val="0"/>
        </w:rPr>
        <w:t xml:space="preserve"> (for example, Treasury and company filings in late 2025/2026 benchmark Genesis Energy's corporate WACC at </w:t>
      </w:r>
      <w:r w:rsidDel="00000000" w:rsidR="00000000" w:rsidRPr="00000000">
        <w:rPr>
          <w:b w:val="1"/>
          <w:bCs w:val="1"/>
          <w:rtl w:val="0"/>
        </w:rPr>
        <w:t xml:space="preserve">~7.8%</w:t>
      </w:r>
      <w:r w:rsidDel="00000000" w:rsidR="00000000" w:rsidRPr="00000000">
        <w:rPr>
          <w:rtl w:val="0"/>
        </w:rPr>
        <w:t xml:space="preserve"> and utility-scale solar/wind evaluations at </w:t>
      </w:r>
      <w:r w:rsidDel="00000000" w:rsidR="00000000" w:rsidRPr="00000000">
        <w:rPr>
          <w:b w:val="1"/>
          <w:bCs w:val="1"/>
          <w:rtl w:val="0"/>
        </w:rPr>
        <w:t xml:space="preserve">7.0% nominal</w:t>
      </w:r>
      <w:r w:rsidDel="00000000" w:rsidR="00000000" w:rsidRPr="00000000">
        <w:rPr>
          <w:rtl w:val="0"/>
        </w:rPr>
        <w:t xml:space="preserve">). This assumes an asset beta of </w:t>
      </w:r>
      <w:r w:rsidDel="00000000" w:rsidR="00000000" w:rsidRPr="00000000">
        <w:rPr>
          <w:b w:val="1"/>
          <w:bCs w:val="1"/>
          <w:rtl w:val="0"/>
        </w:rPr>
        <w:t xml:space="preserve">0.55 to 0.65</w:t>
      </w:r>
      <w:r w:rsidDel="00000000" w:rsidR="00000000" w:rsidRPr="00000000">
        <w:rPr>
          <w:rtl w:val="0"/>
        </w:rPr>
        <w:t xml:space="preserve"> (higher than regulated lines at 0.36).</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Merchant or First-of-a-Kind Hurdle Rates (8.5% – 10.5% Nominal):</w:t>
      </w:r>
      <w:r w:rsidDel="00000000" w:rsidR="00000000" w:rsidRPr="00000000">
        <w:rPr>
          <w:rtl w:val="0"/>
        </w:rPr>
        <w:t xml:space="preserve"> In practice, investment committees add a </w:t>
      </w:r>
      <w:r w:rsidDel="00000000" w:rsidR="00000000" w:rsidRPr="00000000">
        <w:rPr>
          <w:b w:val="1"/>
          <w:bCs w:val="1"/>
          <w:rtl w:val="0"/>
        </w:rPr>
        <w:t xml:space="preserve">100 to 250 bps project-specific risk premium</w:t>
      </w:r>
      <w:r w:rsidDel="00000000" w:rsidR="00000000" w:rsidRPr="00000000">
        <w:rPr>
          <w:rtl w:val="0"/>
        </w:rPr>
        <w:t xml:space="preserve"> above their corporate WACC when evaluating uncontracted (merchant) cash flows or newer long-duration storage technologies (such as CAES or pumped hydro) to account for development and curtailment risks.</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C. Public Sector, Fast-Track &amp; Economic Cost-Benefit Analysis (NZ Treasury Anchor)</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are submitting an economic assessment for a government grant, regional infrastructure fund, or under the </w:t>
      </w:r>
      <w:r w:rsidDel="00000000" w:rsidR="00000000" w:rsidRPr="00000000">
        <w:rPr>
          <w:b w:val="1"/>
          <w:bCs w:val="1"/>
          <w:rtl w:val="0"/>
        </w:rPr>
        <w:t xml:space="preserve">Fast-track Approvals regime</w:t>
      </w:r>
      <w:r w:rsidDel="00000000" w:rsidR="00000000" w:rsidRPr="00000000">
        <w:rPr>
          <w:rtl w:val="0"/>
        </w:rPr>
        <w:t xml:space="preserve">, you must align with the </w:t>
      </w:r>
      <w:r w:rsidDel="00000000" w:rsidR="00000000" w:rsidRPr="00000000">
        <w:rPr>
          <w:b w:val="1"/>
          <w:bCs w:val="1"/>
          <w:rtl w:val="0"/>
        </w:rPr>
        <w:t xml:space="preserve">New Zealand Treasury’s October 2024 discount rate update</w:t>
      </w:r>
      <w:r w:rsidDel="00000000" w:rsidR="00000000" w:rsidRPr="00000000">
        <w:rPr>
          <w:rtl w:val="0"/>
        </w:rPr>
        <w:t xml:space="preserve"> (</w:t>
      </w:r>
      <w:r w:rsidDel="00000000" w:rsidR="00000000" w:rsidRPr="00000000">
        <w:rPr>
          <w:i w:val="1"/>
          <w:iCs w:val="1"/>
          <w:rtl w:val="0"/>
        </w:rPr>
        <w:t xml:space="preserve">Treasury Circular 2024/15</w:t>
      </w:r>
      <w:r w:rsidDel="00000000" w:rsidR="00000000" w:rsidRPr="00000000">
        <w:rPr>
          <w:rtl w:val="0"/>
        </w:rPr>
        <w:t xml:space="preserve">):</w:t>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Use 8.0% Real (Social Opportunity Cost — SOC)</w:t>
      </w:r>
      <w:r w:rsidDel="00000000" w:rsidR="00000000" w:rsidRPr="00000000">
        <w:rPr>
          <w:rtl w:val="0"/>
        </w:rPr>
        <w:t xml:space="preserve"> if the project is primarily commercial or infrastructure-focused (where benefits are private revenues or avoided direct energy/transport costs). Independent economic review panels in 2025/2026 have explicitly rejected project submissions that attempted to use the lower 2% rate for commercial infrastructure.</w:t>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Use 2.0% Real (Social Rate of Time Preference — SRTP)</w:t>
      </w:r>
      <w:r w:rsidDel="00000000" w:rsidR="00000000" w:rsidRPr="00000000">
        <w:rPr>
          <w:rtl w:val="0"/>
        </w:rPr>
        <w:t xml:space="preserve"> </w:t>
      </w:r>
      <w:r w:rsidDel="00000000" w:rsidR="00000000" w:rsidRPr="00000000">
        <w:rPr>
          <w:i w:val="1"/>
          <w:iCs w:val="1"/>
          <w:rtl w:val="0"/>
        </w:rPr>
        <w:t xml:space="preserve">only</w:t>
      </w:r>
      <w:r w:rsidDel="00000000" w:rsidR="00000000" w:rsidRPr="00000000">
        <w:rPr>
          <w:rtl w:val="0"/>
        </w:rPr>
        <w:t xml:space="preserve"> when evaluating non-market public policy outcomes, such as long-term national carbon abatement or community health co-benefits.</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Building a Bottom-Up Defendable WACC (Simplified Brennan-Lally Model)</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New Zealand, regulators, Big Four valuation teams, and investment banks almost universally use the </w:t>
      </w:r>
      <w:r w:rsidDel="00000000" w:rsidR="00000000" w:rsidRPr="00000000">
        <w:rPr>
          <w:b w:val="1"/>
          <w:bCs w:val="1"/>
          <w:rtl w:val="0"/>
        </w:rPr>
        <w:t xml:space="preserve">Simplified Brennan-Lally CAPM</w:t>
      </w:r>
      <w:r w:rsidDel="00000000" w:rsidR="00000000" w:rsidRPr="00000000">
        <w:rPr>
          <w:rtl w:val="0"/>
        </w:rPr>
        <w:t xml:space="preserve">, which accounts for New Zealand’s dividend imputation tax system. If an auditor or investment committee asks you to justify a </w:t>
      </w:r>
      <w:r w:rsidDel="00000000" w:rsidR="00000000" w:rsidRPr="00000000">
        <w:rPr>
          <w:b w:val="1"/>
          <w:bCs w:val="1"/>
          <w:rtl w:val="0"/>
        </w:rPr>
        <w:t xml:space="preserve">~7.5% post-tax nominal discount rate</w:t>
      </w:r>
      <w:r w:rsidDel="00000000" w:rsidR="00000000" w:rsidRPr="00000000">
        <w:rPr>
          <w:rtl w:val="0"/>
        </w:rPr>
        <w:t xml:space="preserve"> for a commercial NZ energy project, present the following parameter build-up:</w:t>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Risk-Free Rate (</w:t>
      </w:r>
      <w:r w:rsidDel="00000000" w:rsidR="00000000" w:rsidRPr="00000000">
        <w:rPr>
          <w:rFonts w:ascii="Arial" w:cs="Arial" w:eastAsia="Arial" w:hAnsi="Arial"/>
          <w:b w:val="1"/>
          <w:bCs w:val="1"/>
          <w:i w:val="1"/>
          <w:iCs w:val="1"/>
          <w:rtl w:val="0"/>
        </w:rPr>
        <w:t xml:space="preserve">R</w:t>
      </w:r>
      <w:r w:rsidDel="00000000" w:rsidR="00000000" w:rsidRPr="00000000">
        <w:rPr>
          <w:rFonts w:ascii="Arial" w:cs="Arial" w:eastAsia="Arial" w:hAnsi="Arial"/>
          <w:b w:val="1"/>
          <w:bCs w:val="1"/>
          <w:i w:val="1"/>
          <w:iCs w:val="1"/>
          <w:sz w:val="14"/>
          <w:szCs w:val="14"/>
          <w:vertAlign w:val="baseline"/>
          <w:rtl w:val="0"/>
        </w:rPr>
        <w:t xml:space="preserve">f</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 ~4.25% – 4.50%</w:t>
      </w:r>
      <w:r w:rsidDel="00000000" w:rsidR="00000000" w:rsidRPr="00000000">
        <w:rPr>
          <w:rtl w:val="0"/>
        </w:rPr>
        <w:t xml:space="preserve"> (Based on the 5-year or 10-year NZ Government Bond yield).</w:t>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Corporate Tax Rate (</w:t>
      </w:r>
      <w:r w:rsidDel="00000000" w:rsidR="00000000" w:rsidRPr="00000000">
        <w:rPr>
          <w:rFonts w:ascii="Arial" w:cs="Arial" w:eastAsia="Arial" w:hAnsi="Arial"/>
          <w:b w:val="1"/>
          <w:bCs w:val="1"/>
          <w:i w:val="1"/>
          <w:iCs w:val="1"/>
          <w:rtl w:val="0"/>
        </w:rPr>
        <w:t xml:space="preserve">T</w:t>
      </w:r>
      <w:r w:rsidDel="00000000" w:rsidR="00000000" w:rsidRPr="00000000">
        <w:rPr>
          <w:rFonts w:ascii="Arial" w:cs="Arial" w:eastAsia="Arial" w:hAnsi="Arial"/>
          <w:b w:val="1"/>
          <w:bCs w:val="1"/>
          <w:i w:val="1"/>
          <w:iCs w:val="1"/>
          <w:sz w:val="14"/>
          <w:szCs w:val="14"/>
          <w:vertAlign w:val="baseline"/>
          <w:rtl w:val="0"/>
        </w:rPr>
        <w:t xml:space="preserve">c</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 &amp; Investor Tax Rate (</w:t>
      </w:r>
      <w:r w:rsidDel="00000000" w:rsidR="00000000" w:rsidRPr="00000000">
        <w:rPr>
          <w:rFonts w:ascii="Arial" w:cs="Arial" w:eastAsia="Arial" w:hAnsi="Arial"/>
          <w:b w:val="1"/>
          <w:bCs w:val="1"/>
          <w:i w:val="1"/>
          <w:iCs w:val="1"/>
          <w:rtl w:val="0"/>
        </w:rPr>
        <w:t xml:space="preserve">T</w:t>
      </w:r>
      <w:r w:rsidDel="00000000" w:rsidR="00000000" w:rsidRPr="00000000">
        <w:rPr>
          <w:rFonts w:ascii="Arial" w:cs="Arial" w:eastAsia="Arial" w:hAnsi="Arial"/>
          <w:b w:val="1"/>
          <w:bCs w:val="1"/>
          <w:i w:val="1"/>
          <w:iCs w:val="1"/>
          <w:sz w:val="14"/>
          <w:szCs w:val="14"/>
          <w:vertAlign w:val="baseline"/>
          <w:rtl w:val="0"/>
        </w:rPr>
        <w:t xml:space="preserve">i</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 28%</w:t>
      </w:r>
      <w:r w:rsidDel="00000000" w:rsidR="00000000" w:rsidRPr="00000000">
        <w:rPr>
          <w:rtl w:val="0"/>
        </w:rPr>
        <w:t xml:space="preserve"> (Standard NZ corporate tax and PIE/marginal rate assumption).</w:t>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Tax-Adjusted Market Risk Premium (TAMRP): 7.0% – 7.5%</w:t>
      </w:r>
      <w:r w:rsidDel="00000000" w:rsidR="00000000" w:rsidRPr="00000000">
        <w:rPr>
          <w:rtl w:val="0"/>
        </w:rPr>
        <w:t xml:space="preserve"> (Commerce Commission standard is </w:t>
      </w:r>
      <w:r w:rsidDel="00000000" w:rsidR="00000000" w:rsidRPr="00000000">
        <w:rPr>
          <w:b w:val="1"/>
          <w:bCs w:val="1"/>
          <w:rtl w:val="0"/>
        </w:rPr>
        <w:t xml:space="preserve">7.0%</w:t>
      </w:r>
      <w:r w:rsidDel="00000000" w:rsidR="00000000" w:rsidRPr="00000000">
        <w:rPr>
          <w:rtl w:val="0"/>
        </w:rPr>
        <w:t xml:space="preserve">; commercial valuation houses typically use </w:t>
      </w:r>
      <w:r w:rsidDel="00000000" w:rsidR="00000000" w:rsidRPr="00000000">
        <w:rPr>
          <w:b w:val="1"/>
          <w:bCs w:val="1"/>
          <w:rtl w:val="0"/>
        </w:rPr>
        <w:t xml:space="preserve">7.0%–7.5%</w:t>
      </w:r>
      <w:r w:rsidDel="00000000" w:rsidR="00000000" w:rsidRPr="00000000">
        <w:rPr>
          <w:rtl w:val="0"/>
        </w:rPr>
        <w:t xml:space="preserve">).</w:t>
      </w:r>
    </w:p>
    <w:p w:rsidR="00000000" w:rsidDel="00000000" w:rsidP="00000000" w:rsidRDefault="00000000" w:rsidRPr="00000000" w14:paraId="0000008E">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Asset Beta (</w:t>
      </w:r>
      <w:r w:rsidDel="00000000" w:rsidR="00000000" w:rsidRPr="00000000">
        <w:rPr>
          <w:rFonts w:ascii="Arial" w:cs="Arial" w:eastAsia="Arial" w:hAnsi="Arial"/>
          <w:b w:val="1"/>
          <w:bCs w:val="1"/>
          <w:i w:val="1"/>
          <w:iCs w:val="1"/>
          <w:rtl w:val="0"/>
        </w:rPr>
        <w:t xml:space="preserve">β</w:t>
      </w:r>
      <w:r w:rsidDel="00000000" w:rsidR="00000000" w:rsidRPr="00000000">
        <w:rPr>
          <w:rFonts w:ascii="Arial" w:cs="Arial" w:eastAsia="Arial" w:hAnsi="Arial"/>
          <w:b w:val="1"/>
          <w:bCs w:val="1"/>
          <w:i w:val="1"/>
          <w:iCs w:val="1"/>
          <w:sz w:val="14"/>
          <w:szCs w:val="14"/>
          <w:vertAlign w:val="baseline"/>
          <w:rtl w:val="0"/>
        </w:rPr>
        <w:t xml:space="preserve">a</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 &amp; Gearing (</w:t>
      </w:r>
      <w:r w:rsidDel="00000000" w:rsidR="00000000" w:rsidRPr="00000000">
        <w:rPr>
          <w:rFonts w:ascii="Arial" w:cs="Arial" w:eastAsia="Arial" w:hAnsi="Arial"/>
          <w:b w:val="1"/>
          <w:bCs w:val="1"/>
          <w:i w:val="1"/>
          <w:iCs w:val="1"/>
          <w:rtl w:val="0"/>
        </w:rPr>
        <w:t xml:space="preserve">D</w:t>
      </w:r>
      <w:r w:rsidDel="00000000" w:rsidR="00000000" w:rsidRPr="00000000">
        <w:rPr>
          <w:b w:val="1"/>
          <w:bCs w:val="1"/>
          <w:rtl w:val="0"/>
        </w:rPr>
        <w:t xml:space="preserve">/[</w:t>
      </w:r>
      <w:r w:rsidDel="00000000" w:rsidR="00000000" w:rsidRPr="00000000">
        <w:rPr>
          <w:rFonts w:ascii="Arial" w:cs="Arial" w:eastAsia="Arial" w:hAnsi="Arial"/>
          <w:b w:val="1"/>
          <w:bCs w:val="1"/>
          <w:i w:val="1"/>
          <w:iCs w:val="1"/>
          <w:rtl w:val="0"/>
        </w:rPr>
        <w:t xml:space="preserve">D</w:t>
      </w:r>
      <w:r w:rsidDel="00000000" w:rsidR="00000000" w:rsidRPr="00000000">
        <w:rPr>
          <w:b w:val="1"/>
          <w:bCs w:val="1"/>
          <w:rtl w:val="0"/>
        </w:rPr>
        <w:t xml:space="preserve">+</w:t>
      </w:r>
      <w:r w:rsidDel="00000000" w:rsidR="00000000" w:rsidRPr="00000000">
        <w:rPr>
          <w:rFonts w:ascii="Arial" w:cs="Arial" w:eastAsia="Arial" w:hAnsi="Arial"/>
          <w:b w:val="1"/>
          <w:bCs w:val="1"/>
          <w:i w:val="1"/>
          <w:iCs w:val="1"/>
          <w:rtl w:val="0"/>
        </w:rPr>
        <w:t xml:space="preserve">E</w:t>
      </w:r>
      <w:r w:rsidDel="00000000" w:rsidR="00000000" w:rsidRPr="00000000">
        <w:rPr>
          <w:b w:val="1"/>
          <w:bCs w:val="1"/>
          <w:rtl w:val="0"/>
        </w:rPr>
        <w:t xml:space="preserve">]):</w:t>
      </w:r>
    </w:p>
    <w:p w:rsidR="00000000" w:rsidDel="00000000" w:rsidP="00000000" w:rsidRDefault="00000000" w:rsidRPr="00000000" w14:paraId="0000008F">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Contracted Renewable / Storage (PPA backed):</w:t>
      </w:r>
      <w:r w:rsidDel="00000000" w:rsidR="00000000" w:rsidRPr="00000000">
        <w:rPr>
          <w:rtl w:val="0"/>
        </w:rPr>
        <w:t xml:space="preserve"> </w:t>
      </w:r>
      <w:r w:rsidDel="00000000" w:rsidR="00000000" w:rsidRPr="00000000">
        <w:rPr>
          <w:rFonts w:ascii="Arial" w:cs="Arial" w:eastAsia="Arial" w:hAnsi="Arial"/>
          <w:i w:val="1"/>
          <w:iCs w:val="1"/>
          <w:rtl w:val="0"/>
        </w:rPr>
        <w:t xml:space="preserve">β</w:t>
      </w:r>
      <w:r w:rsidDel="00000000" w:rsidR="00000000" w:rsidRPr="00000000">
        <w:rPr>
          <w:rFonts w:ascii="Arial" w:cs="Arial" w:eastAsia="Arial" w:hAnsi="Arial"/>
          <w:i w:val="1"/>
          <w:iCs w:val="1"/>
          <w:sz w:val="14"/>
          <w:szCs w:val="14"/>
          <w:vertAlign w:val="baseline"/>
          <w:rtl w:val="0"/>
        </w:rPr>
        <w:t xml:space="preserve">a</w:t>
      </w:r>
      <w:r w:rsidDel="00000000" w:rsidR="00000000" w:rsidRPr="00000000">
        <w:rPr>
          <w:sz w:val="2"/>
          <w:szCs w:val="2"/>
          <w:vertAlign w:val="baseline"/>
          <w:rtl w:val="0"/>
        </w:rPr>
        <w:t xml:space="preserve">​</w:t>
      </w:r>
      <w:r w:rsidDel="00000000" w:rsidR="00000000" w:rsidRPr="00000000">
        <w:rPr>
          <w:rtl w:val="0"/>
        </w:rPr>
        <w:t xml:space="preserve">=0.50, Gearing = 40%→ Equity Beta (</w:t>
      </w:r>
      <w:r w:rsidDel="00000000" w:rsidR="00000000" w:rsidRPr="00000000">
        <w:rPr>
          <w:rFonts w:ascii="Arial" w:cs="Arial" w:eastAsia="Arial" w:hAnsi="Arial"/>
          <w:i w:val="1"/>
          <w:iCs w:val="1"/>
          <w:rtl w:val="0"/>
        </w:rPr>
        <w:t xml:space="preserve">β</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tl w:val="0"/>
        </w:rPr>
        <w:t xml:space="preserve">) = 0.83.</w:t>
      </w:r>
    </w:p>
    <w:p w:rsidR="00000000" w:rsidDel="00000000" w:rsidP="00000000" w:rsidRDefault="00000000" w:rsidRPr="00000000" w14:paraId="00000090">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Merchant Generation / Storage:</w:t>
      </w:r>
      <w:r w:rsidDel="00000000" w:rsidR="00000000" w:rsidRPr="00000000">
        <w:rPr>
          <w:rtl w:val="0"/>
        </w:rPr>
        <w:t xml:space="preserve"> </w:t>
      </w:r>
      <w:r w:rsidDel="00000000" w:rsidR="00000000" w:rsidRPr="00000000">
        <w:rPr>
          <w:rFonts w:ascii="Arial" w:cs="Arial" w:eastAsia="Arial" w:hAnsi="Arial"/>
          <w:i w:val="1"/>
          <w:iCs w:val="1"/>
          <w:rtl w:val="0"/>
        </w:rPr>
        <w:t xml:space="preserve">β</w:t>
      </w:r>
      <w:r w:rsidDel="00000000" w:rsidR="00000000" w:rsidRPr="00000000">
        <w:rPr>
          <w:rFonts w:ascii="Arial" w:cs="Arial" w:eastAsia="Arial" w:hAnsi="Arial"/>
          <w:i w:val="1"/>
          <w:iCs w:val="1"/>
          <w:sz w:val="14"/>
          <w:szCs w:val="14"/>
          <w:vertAlign w:val="baseline"/>
          <w:rtl w:val="0"/>
        </w:rPr>
        <w:t xml:space="preserve">a</w:t>
      </w:r>
      <w:r w:rsidDel="00000000" w:rsidR="00000000" w:rsidRPr="00000000">
        <w:rPr>
          <w:sz w:val="2"/>
          <w:szCs w:val="2"/>
          <w:vertAlign w:val="baseline"/>
          <w:rtl w:val="0"/>
        </w:rPr>
        <w:t xml:space="preserve">​</w:t>
      </w:r>
      <w:r w:rsidDel="00000000" w:rsidR="00000000" w:rsidRPr="00000000">
        <w:rPr>
          <w:rtl w:val="0"/>
        </w:rPr>
        <w:t xml:space="preserve">=0.65, Gearing = 30%→ Equity Beta (</w:t>
      </w:r>
      <w:r w:rsidDel="00000000" w:rsidR="00000000" w:rsidRPr="00000000">
        <w:rPr>
          <w:rFonts w:ascii="Arial" w:cs="Arial" w:eastAsia="Arial" w:hAnsi="Arial"/>
          <w:i w:val="1"/>
          <w:iCs w:val="1"/>
          <w:rtl w:val="0"/>
        </w:rPr>
        <w:t xml:space="preserve">β</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tl w:val="0"/>
        </w:rPr>
        <w:t xml:space="preserve">) = 0.93.</w:t>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Post-Tax Cost of Equity (</w:t>
      </w:r>
      <w:r w:rsidDel="00000000" w:rsidR="00000000" w:rsidRPr="00000000">
        <w:rPr>
          <w:rFonts w:ascii="Arial" w:cs="Arial" w:eastAsia="Arial" w:hAnsi="Arial"/>
          <w:b w:val="1"/>
          <w:bCs w:val="1"/>
          <w:i w:val="1"/>
          <w:iCs w:val="1"/>
          <w:rtl w:val="0"/>
        </w:rPr>
        <w:t xml:space="preserve">K</w:t>
      </w:r>
      <w:r w:rsidDel="00000000" w:rsidR="00000000" w:rsidRPr="00000000">
        <w:rPr>
          <w:rFonts w:ascii="Arial" w:cs="Arial" w:eastAsia="Arial" w:hAnsi="Arial"/>
          <w:b w:val="1"/>
          <w:bCs w:val="1"/>
          <w:i w:val="1"/>
          <w:iCs w:val="1"/>
          <w:sz w:val="14"/>
          <w:szCs w:val="14"/>
          <w:vertAlign w:val="baseline"/>
          <w:rtl w:val="0"/>
        </w:rPr>
        <w:t xml:space="preserve">e</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rtl w:val="0"/>
        </w:rPr>
        <w:t xml:space="preserve">K</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sz w:val="14"/>
          <w:szCs w:val="14"/>
          <w:vertAlign w:val="baseline"/>
          <w:rtl w:val="0"/>
        </w:rPr>
        <w:t xml:space="preserve">f</w:t>
      </w:r>
      <w:r w:rsidDel="00000000" w:rsidR="00000000" w:rsidRPr="00000000">
        <w:rPr>
          <w:sz w:val="2"/>
          <w:szCs w:val="2"/>
          <w:vertAlign w:val="baseline"/>
          <w:rtl w:val="0"/>
        </w:rPr>
        <w:t xml:space="preserve">​</w:t>
      </w:r>
      <w:r w:rsidDel="00000000" w:rsidR="00000000" w:rsidRPr="00000000">
        <w:rPr>
          <w:rtl w:val="0"/>
        </w:rPr>
        <w:t xml:space="preserve">(1−</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β</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tl w:val="0"/>
        </w:rPr>
        <w:t xml:space="preserve">×TAMRP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For </w:t>
      </w:r>
      <w:r w:rsidDel="00000000" w:rsidR="00000000" w:rsidRPr="00000000">
        <w:rPr>
          <w:rFonts w:ascii="Arial" w:cs="Arial" w:eastAsia="Arial" w:hAnsi="Arial"/>
          <w:i w:val="1"/>
          <w:iCs w:val="1"/>
          <w:rtl w:val="0"/>
        </w:rPr>
        <w:t xml:space="preserve">β</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tl w:val="0"/>
        </w:rPr>
        <w:t xml:space="preserve">=0.88,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sz w:val="14"/>
          <w:szCs w:val="14"/>
          <w:vertAlign w:val="baseline"/>
          <w:rtl w:val="0"/>
        </w:rPr>
        <w:t xml:space="preserve">f</w:t>
      </w:r>
      <w:r w:rsidDel="00000000" w:rsidR="00000000" w:rsidRPr="00000000">
        <w:rPr>
          <w:sz w:val="2"/>
          <w:szCs w:val="2"/>
          <w:vertAlign w:val="baseline"/>
          <w:rtl w:val="0"/>
        </w:rPr>
        <w:t xml:space="preserve">​</w:t>
      </w:r>
      <w:r w:rsidDel="00000000" w:rsidR="00000000" w:rsidRPr="00000000">
        <w:rPr>
          <w:rtl w:val="0"/>
        </w:rPr>
        <w:t xml:space="preserve">=4.4%, and TAMRP=7.0%: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rtl w:val="0"/>
        </w:rPr>
        <w:t xml:space="preserve">K</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tl w:val="0"/>
        </w:rPr>
        <w:t xml:space="preserve">=4.4%×(1−0.28)+(0.88×7.0%)=3.17%+6.16%=</w:t>
      </w:r>
      <w:r w:rsidDel="00000000" w:rsidR="00000000" w:rsidRPr="00000000">
        <w:rPr>
          <w:rFonts w:ascii="Arial" w:cs="Arial" w:eastAsia="Arial" w:hAnsi="Arial"/>
          <w:rtl w:val="0"/>
        </w:rPr>
        <w:t xml:space="preserve">9.33%</w:t>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Post-Tax Cost of Debt (</w:t>
      </w:r>
      <w:r w:rsidDel="00000000" w:rsidR="00000000" w:rsidRPr="00000000">
        <w:rPr>
          <w:rFonts w:ascii="Arial" w:cs="Arial" w:eastAsia="Arial" w:hAnsi="Arial"/>
          <w:b w:val="1"/>
          <w:bCs w:val="1"/>
          <w:i w:val="1"/>
          <w:iCs w:val="1"/>
          <w:rtl w:val="0"/>
        </w:rPr>
        <w:t xml:space="preserve">K</w:t>
      </w:r>
      <w:r w:rsidDel="00000000" w:rsidR="00000000" w:rsidRPr="00000000">
        <w:rPr>
          <w:rFonts w:ascii="Arial" w:cs="Arial" w:eastAsia="Arial" w:hAnsi="Arial"/>
          <w:b w:val="1"/>
          <w:bCs w:val="1"/>
          <w:i w:val="1"/>
          <w:iCs w:val="1"/>
          <w:sz w:val="14"/>
          <w:szCs w:val="14"/>
          <w:vertAlign w:val="baseline"/>
          <w:rtl w:val="0"/>
        </w:rPr>
        <w:t xml:space="preserve">d</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rtl w:val="0"/>
        </w:rPr>
        <w:t xml:space="preserve">K</w:t>
      </w:r>
      <w:r w:rsidDel="00000000" w:rsidR="00000000" w:rsidRPr="00000000">
        <w:rPr>
          <w:rFonts w:ascii="Arial" w:cs="Arial" w:eastAsia="Arial" w:hAnsi="Arial"/>
          <w:i w:val="1"/>
          <w:iCs w:val="1"/>
          <w:sz w:val="14"/>
          <w:szCs w:val="14"/>
          <w:vertAlign w:val="baseline"/>
          <w:rtl w:val="0"/>
        </w:rPr>
        <w:t xml:space="preserve">d</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sz w:val="14"/>
          <w:szCs w:val="14"/>
          <w:vertAlign w:val="baseline"/>
          <w:rtl w:val="0"/>
        </w:rPr>
        <w:t xml:space="preserve">f</w:t>
      </w:r>
      <w:r w:rsidDel="00000000" w:rsidR="00000000" w:rsidRPr="00000000">
        <w:rPr>
          <w:sz w:val="2"/>
          <w:szCs w:val="2"/>
          <w:vertAlign w:val="baseline"/>
          <w:rtl w:val="0"/>
        </w:rPr>
        <w:t xml:space="preserve">​</w:t>
      </w:r>
      <w:r w:rsidDel="00000000" w:rsidR="00000000" w:rsidRPr="00000000">
        <w:rPr>
          <w:rtl w:val="0"/>
        </w:rPr>
        <w:t xml:space="preserve">+Debt Margin)×(1−</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i w:val="1"/>
          <w:iCs w:val="1"/>
          <w:sz w:val="14"/>
          <w:szCs w:val="14"/>
          <w:vertAlign w:val="baseline"/>
          <w:rtl w:val="0"/>
        </w:rPr>
        <w:t xml:space="preserve">c</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With a project debt margin of </w:t>
      </w:r>
      <w:r w:rsidDel="00000000" w:rsidR="00000000" w:rsidRPr="00000000">
        <w:rPr>
          <w:b w:val="1"/>
          <w:bCs w:val="1"/>
          <w:rtl w:val="0"/>
        </w:rPr>
        <w:t xml:space="preserve">1.60%</w:t>
      </w:r>
      <w:r w:rsidDel="00000000" w:rsidR="00000000" w:rsidRPr="00000000">
        <w:rPr>
          <w:rtl w:val="0"/>
        </w:rPr>
        <w:t xml:space="preserve"> (BBB/BBB+ equivalent) over a </w:t>
      </w:r>
      <w:r w:rsidDel="00000000" w:rsidR="00000000" w:rsidRPr="00000000">
        <w:rPr>
          <w:b w:val="1"/>
          <w:bCs w:val="1"/>
          <w:rtl w:val="0"/>
        </w:rPr>
        <w:t xml:space="preserve">4.40%</w:t>
      </w:r>
      <w:r w:rsidDel="00000000" w:rsidR="00000000" w:rsidRPr="00000000">
        <w:rPr>
          <w:rtl w:val="0"/>
        </w:rPr>
        <w:t xml:space="preserve"> risk-free rate: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rtl w:val="0"/>
        </w:rPr>
        <w:t xml:space="preserve">K</w:t>
      </w:r>
      <w:r w:rsidDel="00000000" w:rsidR="00000000" w:rsidRPr="00000000">
        <w:rPr>
          <w:rFonts w:ascii="Arial" w:cs="Arial" w:eastAsia="Arial" w:hAnsi="Arial"/>
          <w:i w:val="1"/>
          <w:iCs w:val="1"/>
          <w:sz w:val="14"/>
          <w:szCs w:val="14"/>
          <w:vertAlign w:val="baseline"/>
          <w:rtl w:val="0"/>
        </w:rPr>
        <w:t xml:space="preserve">d</w:t>
      </w:r>
      <w:r w:rsidDel="00000000" w:rsidR="00000000" w:rsidRPr="00000000">
        <w:rPr>
          <w:sz w:val="2"/>
          <w:szCs w:val="2"/>
          <w:vertAlign w:val="baseline"/>
          <w:rtl w:val="0"/>
        </w:rPr>
        <w:t xml:space="preserve">​</w:t>
      </w:r>
      <w:r w:rsidDel="00000000" w:rsidR="00000000" w:rsidRPr="00000000">
        <w:rPr>
          <w:rtl w:val="0"/>
        </w:rPr>
        <w:t xml:space="preserve">=(4.40%+1.60%)×(1−0.28)=6.00%×0.72=</w:t>
      </w:r>
      <w:r w:rsidDel="00000000" w:rsidR="00000000" w:rsidRPr="00000000">
        <w:rPr>
          <w:rFonts w:ascii="Arial" w:cs="Arial" w:eastAsia="Arial" w:hAnsi="Arial"/>
          <w:rtl w:val="0"/>
        </w:rPr>
        <w:t xml:space="preserve">4.32%</w:t>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Combined Post-Tax Nominal WACC (at 35% Gearing):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WACC</w:t>
      </w:r>
      <w:r w:rsidDel="00000000" w:rsidR="00000000" w:rsidRPr="00000000">
        <w:rPr>
          <w:sz w:val="6"/>
          <w:szCs w:val="6"/>
          <w:vertAlign w:val="baseline"/>
          <w:rtl w:val="0"/>
        </w:rPr>
        <w:t xml:space="preserve">nominal</w:t>
      </w:r>
      <w:r w:rsidDel="00000000" w:rsidR="00000000" w:rsidRPr="00000000">
        <w:rPr>
          <w:sz w:val="2"/>
          <w:szCs w:val="2"/>
          <w:vertAlign w:val="baseline"/>
          <w:rtl w:val="0"/>
        </w:rPr>
        <w:t xml:space="preserve">​</w:t>
      </w:r>
      <w:r w:rsidDel="00000000" w:rsidR="00000000" w:rsidRPr="00000000">
        <w:rPr>
          <w:rtl w:val="0"/>
        </w:rPr>
        <w:t xml:space="preserve">=(9.33%×65%)+(4.32%×35%)=</w:t>
      </w:r>
      <w:r w:rsidDel="00000000" w:rsidR="00000000" w:rsidRPr="00000000">
        <w:rPr>
          <w:rFonts w:ascii="Arial" w:cs="Arial" w:eastAsia="Arial" w:hAnsi="Arial"/>
          <w:rtl w:val="0"/>
        </w:rPr>
        <w:t xml:space="preserve">7.58%</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Converting Between Nominal and Real (The Fisher Equation)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Never mix real cash flows (constant 2026 NZD) with a nominal discount rate. Using the </w:t>
      </w:r>
      <w:r w:rsidDel="00000000" w:rsidR="00000000" w:rsidRPr="00000000">
        <w:rPr>
          <w:b w:val="1"/>
          <w:bCs w:val="1"/>
          <w:rtl w:val="0"/>
        </w:rPr>
        <w:t xml:space="preserve">Reserve Bank of New Zealand (RBNZ)</w:t>
      </w:r>
      <w:r w:rsidDel="00000000" w:rsidR="00000000" w:rsidRPr="00000000">
        <w:rPr>
          <w:rtl w:val="0"/>
        </w:rPr>
        <w:t xml:space="preserve"> target inflation midpoint of </w:t>
      </w:r>
      <w:r w:rsidDel="00000000" w:rsidR="00000000" w:rsidRPr="00000000">
        <w:rPr>
          <w:b w:val="1"/>
          <w:bCs w:val="1"/>
          <w:rtl w:val="0"/>
        </w:rPr>
        <w:t xml:space="preserve">2.0%</w:t>
      </w:r>
      <w:r w:rsidDel="00000000" w:rsidR="00000000" w:rsidRPr="00000000">
        <w:rPr>
          <w:rtl w:val="0"/>
        </w:rPr>
        <w:t xml:space="preserve"> (</w:t>
      </w:r>
      <w:r w:rsidDel="00000000" w:rsidR="00000000" w:rsidRPr="00000000">
        <w:rPr>
          <w:rFonts w:ascii="Arial" w:cs="Arial" w:eastAsia="Arial" w:hAnsi="Arial"/>
          <w:i w:val="1"/>
          <w:iCs w:val="1"/>
          <w:rtl w:val="0"/>
        </w:rPr>
        <w:t xml:space="preserve">π</w:t>
      </w:r>
      <w:r w:rsidDel="00000000" w:rsidR="00000000" w:rsidRPr="00000000">
        <w:rPr>
          <w:rtl w:val="0"/>
        </w:rPr>
        <w:t xml:space="preserve">=0.02), convert via the Fisher equation: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25" w:before="0" w:lineRule="auto"/>
        <w:ind w:left="0" w:right="0" w:firstLine="0"/>
        <w:rPr>
          <w:rFonts w:ascii="Arial" w:cs="Arial" w:eastAsia="Arial" w:hAnsi="Arial"/>
        </w:rPr>
      </w:pPr>
      <w:r w:rsidDel="00000000" w:rsidR="00000000" w:rsidRPr="00000000">
        <w:rPr>
          <w:rtl w:val="0"/>
        </w:rPr>
        <w:t xml:space="preserve">WACC</w:t>
      </w:r>
      <w:r w:rsidDel="00000000" w:rsidR="00000000" w:rsidRPr="00000000">
        <w:rPr>
          <w:sz w:val="6"/>
          <w:szCs w:val="6"/>
          <w:vertAlign w:val="baseline"/>
          <w:rtl w:val="0"/>
        </w:rPr>
        <w:t xml:space="preserve">real</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1+</w:t>
      </w:r>
      <w:r w:rsidDel="00000000" w:rsidR="00000000" w:rsidRPr="00000000">
        <w:rPr>
          <w:rFonts w:ascii="Arial" w:cs="Arial" w:eastAsia="Arial" w:hAnsi="Arial"/>
          <w:i w:val="1"/>
          <w:iCs w:val="1"/>
          <w:vertAlign w:val="baseline"/>
          <w:rtl w:val="0"/>
        </w:rPr>
        <w:t xml:space="preserve">π</w:t>
      </w:r>
      <w:r w:rsidDel="00000000" w:rsidR="00000000" w:rsidRPr="00000000">
        <w:rPr>
          <w:vertAlign w:val="baseline"/>
          <w:rtl w:val="0"/>
        </w:rPr>
        <w:t xml:space="preserve">1+WACC</w:t>
      </w:r>
      <w:r w:rsidDel="00000000" w:rsidR="00000000" w:rsidRPr="00000000">
        <w:rPr>
          <w:sz w:val="6"/>
          <w:szCs w:val="6"/>
          <w:vertAlign w:val="baseline"/>
          <w:rtl w:val="0"/>
        </w:rPr>
        <w:t xml:space="preserve">nominal</w:t>
      </w:r>
      <w:r w:rsidDel="00000000" w:rsidR="00000000" w:rsidRPr="00000000">
        <w:rPr>
          <w:sz w:val="2"/>
          <w:szCs w:val="2"/>
          <w:vertAlign w:val="baseline"/>
          <w:rtl w:val="0"/>
        </w:rPr>
        <w:t xml:space="preserve">​​</w:t>
      </w:r>
      <w:r w:rsidDel="00000000" w:rsidR="00000000" w:rsidRPr="00000000">
        <w:rPr>
          <w:rtl w:val="0"/>
        </w:rPr>
        <w:t xml:space="preserve">−1=</w:t>
      </w:r>
      <w:r w:rsidDel="00000000" w:rsidR="00000000" w:rsidRPr="00000000">
        <w:rPr>
          <w:vertAlign w:val="baseline"/>
          <w:rtl w:val="0"/>
        </w:rPr>
        <w:t xml:space="preserve">1.021.0758</w:t>
      </w:r>
      <w:r w:rsidDel="00000000" w:rsidR="00000000" w:rsidRPr="00000000">
        <w:rPr>
          <w:sz w:val="2"/>
          <w:szCs w:val="2"/>
          <w:vertAlign w:val="baseline"/>
          <w:rtl w:val="0"/>
        </w:rPr>
        <w:t xml:space="preserve">​</w:t>
      </w:r>
      <w:r w:rsidDel="00000000" w:rsidR="00000000" w:rsidRPr="00000000">
        <w:rPr>
          <w:rtl w:val="0"/>
        </w:rPr>
        <w:t xml:space="preserve">−1=</w:t>
      </w:r>
      <w:r w:rsidDel="00000000" w:rsidR="00000000" w:rsidRPr="00000000">
        <w:rPr>
          <w:rFonts w:ascii="Arial" w:cs="Arial" w:eastAsia="Arial" w:hAnsi="Arial"/>
          <w:rtl w:val="0"/>
        </w:rPr>
        <w:t xml:space="preserve">5.47%</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Interactive NZ Energy Project NPV &amp; WACC Sensitivity Model</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energy infrastructure has high upfront capital expenditure and 25-to-40-year operating lives, a 1.5% shift in the discount rate can swing a project from deeply profitable to unviable. Use the interactive simulator below to test how different NZ discount rate benchmarks impact cumulative discounted cash flows and Net Present Value (NPV):</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7">
        <w:r w:rsidDel="00000000" w:rsidR="00000000" w:rsidRPr="00000000">
          <w:rPr>
            <w:color w:val="4169e1"/>
            <w:rtl w:val="0"/>
          </w:rPr>
          <w:t xml:space="preserve">FAQs: New rules for connection pricing methodologies</w:t>
        </w:r>
      </w:hyperlink>
      <w:r w:rsidDel="00000000" w:rsidR="00000000" w:rsidRPr="00000000">
        <w:rPr>
          <w:rtl w:val="0"/>
        </w:rPr>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8">
        <w:r w:rsidDel="00000000" w:rsidR="00000000" w:rsidRPr="00000000">
          <w:rPr>
            <w:color w:val="4169e1"/>
            <w:rtl w:val="0"/>
          </w:rPr>
          <w:t xml:space="preserve">Cost of capital determination for electricity distribution businesses</w:t>
        </w:r>
      </w:hyperlink>
      <w:r w:rsidDel="00000000" w:rsidR="00000000" w:rsidRPr="00000000">
        <w:rPr>
          <w:rtl w:val="0"/>
        </w:rPr>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9">
        <w:r w:rsidDel="00000000" w:rsidR="00000000" w:rsidRPr="00000000">
          <w:rPr>
            <w:color w:val="4169e1"/>
            <w:rtl w:val="0"/>
          </w:rPr>
          <w:t xml:space="preserve">Appendix 9 – Economics (PDF, 1.7 MB) - Fast-track</w:t>
        </w:r>
      </w:hyperlink>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is the difference between nominal and real in this instance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In project finance and NPV modeling, the difference between </w:t>
      </w:r>
      <w:r w:rsidDel="00000000" w:rsidR="00000000" w:rsidRPr="00000000">
        <w:rPr>
          <w:b w:val="1"/>
          <w:bCs w:val="1"/>
          <w:rtl w:val="0"/>
        </w:rPr>
        <w:t xml:space="preserve">nominal</w:t>
      </w:r>
      <w:r w:rsidDel="00000000" w:rsidR="00000000" w:rsidRPr="00000000">
        <w:rPr>
          <w:rtl w:val="0"/>
        </w:rPr>
        <w:t xml:space="preserve"> and </w:t>
      </w:r>
      <w:r w:rsidDel="00000000" w:rsidR="00000000" w:rsidRPr="00000000">
        <w:rPr>
          <w:b w:val="1"/>
          <w:bCs w:val="1"/>
          <w:rtl w:val="0"/>
        </w:rPr>
        <w:t xml:space="preserve">real</w:t>
      </w:r>
      <w:r w:rsidDel="00000000" w:rsidR="00000000" w:rsidRPr="00000000">
        <w:rPr>
          <w:rtl w:val="0"/>
        </w:rPr>
        <w:t xml:space="preserve"> comes down to </w:t>
      </w:r>
      <w:r w:rsidDel="00000000" w:rsidR="00000000" w:rsidRPr="00000000">
        <w:rPr>
          <w:b w:val="1"/>
          <w:bCs w:val="1"/>
          <w:rtl w:val="0"/>
        </w:rPr>
        <w:t xml:space="preserve">whether inflation is included</w:t>
      </w:r>
      <w:r w:rsidDel="00000000" w:rsidR="00000000" w:rsidRPr="00000000">
        <w:rPr>
          <w:rtl w:val="0"/>
        </w:rPr>
        <w:t xml:space="preserve"> in your numbers.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evaluating a 30-to-40-year energy project—like a Compressed Air Energy Storage (CAES) facility or a wind farm in New Zealand—inflation compounds significantly over decades. You can build a valid, defendable NPV model using either approach, provided you follow the </w:t>
      </w:r>
      <w:r w:rsidDel="00000000" w:rsidR="00000000" w:rsidRPr="00000000">
        <w:rPr>
          <w:b w:val="1"/>
          <w:bCs w:val="1"/>
          <w:rtl w:val="0"/>
        </w:rPr>
        <w:t xml:space="preserve">golden rule of consistency</w:t>
      </w:r>
      <w:r w:rsidDel="00000000" w:rsidR="00000000" w:rsidRPr="00000000">
        <w:rPr>
          <w:rtl w:val="0"/>
        </w:rPr>
        <w:t xml:space="preserve">:</w:t>
      </w:r>
    </w:p>
    <w:p w:rsidR="00000000" w:rsidDel="00000000" w:rsidP="00000000" w:rsidRDefault="00000000" w:rsidRPr="00000000" w14:paraId="000000A1">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Nominal Approach:</w:t>
      </w:r>
      <w:r w:rsidDel="00000000" w:rsidR="00000000" w:rsidRPr="00000000">
        <w:rPr>
          <w:rtl w:val="0"/>
        </w:rPr>
        <w:t xml:space="preserve"> Include inflation in your future cash flows </w:t>
      </w:r>
      <w:r w:rsidDel="00000000" w:rsidR="00000000" w:rsidRPr="00000000">
        <w:rPr>
          <w:b w:val="1"/>
          <w:bCs w:val="1"/>
          <w:rtl w:val="0"/>
        </w:rPr>
        <w:t xml:space="preserve">AND</w:t>
      </w:r>
      <w:r w:rsidDel="00000000" w:rsidR="00000000" w:rsidRPr="00000000">
        <w:rPr>
          <w:rtl w:val="0"/>
        </w:rPr>
        <w:t xml:space="preserve"> discount them using a </w:t>
      </w:r>
      <w:r w:rsidDel="00000000" w:rsidR="00000000" w:rsidRPr="00000000">
        <w:rPr>
          <w:b w:val="1"/>
          <w:bCs w:val="1"/>
          <w:rtl w:val="0"/>
        </w:rPr>
        <w:t xml:space="preserve">Nominal Discount Rate</w:t>
      </w:r>
      <w:r w:rsidDel="00000000" w:rsidR="00000000" w:rsidRPr="00000000">
        <w:rPr>
          <w:rtl w:val="0"/>
        </w:rPr>
        <w:t xml:space="preserve"> (e.g., </w:t>
      </w:r>
      <w:r w:rsidDel="00000000" w:rsidR="00000000" w:rsidRPr="00000000">
        <w:rPr>
          <w:b w:val="1"/>
          <w:bCs w:val="1"/>
          <w:rtl w:val="0"/>
        </w:rPr>
        <w:t xml:space="preserve">7.58%</w:t>
      </w:r>
      <w:r w:rsidDel="00000000" w:rsidR="00000000" w:rsidRPr="00000000">
        <w:rPr>
          <w:rtl w:val="0"/>
        </w:rPr>
        <w:t xml:space="preserve">).</w:t>
      </w:r>
    </w:p>
    <w:p w:rsidR="00000000" w:rsidDel="00000000" w:rsidP="00000000" w:rsidRDefault="00000000" w:rsidRPr="00000000" w14:paraId="000000A2">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Real Approach:</w:t>
      </w:r>
      <w:r w:rsidDel="00000000" w:rsidR="00000000" w:rsidRPr="00000000">
        <w:rPr>
          <w:rtl w:val="0"/>
        </w:rPr>
        <w:t xml:space="preserve"> Strip inflation out of your future cash flows (keep everything in constant 2026 NZD purchasing power) </w:t>
      </w:r>
      <w:r w:rsidDel="00000000" w:rsidR="00000000" w:rsidRPr="00000000">
        <w:rPr>
          <w:b w:val="1"/>
          <w:bCs w:val="1"/>
          <w:rtl w:val="0"/>
        </w:rPr>
        <w:t xml:space="preserve">AND</w:t>
      </w:r>
      <w:r w:rsidDel="00000000" w:rsidR="00000000" w:rsidRPr="00000000">
        <w:rPr>
          <w:rtl w:val="0"/>
        </w:rPr>
        <w:t xml:space="preserve"> discount them using a </w:t>
      </w:r>
      <w:r w:rsidDel="00000000" w:rsidR="00000000" w:rsidRPr="00000000">
        <w:rPr>
          <w:b w:val="1"/>
          <w:bCs w:val="1"/>
          <w:rtl w:val="0"/>
        </w:rPr>
        <w:t xml:space="preserve">Real Discount Rate</w:t>
      </w:r>
      <w:r w:rsidDel="00000000" w:rsidR="00000000" w:rsidRPr="00000000">
        <w:rPr>
          <w:rtl w:val="0"/>
        </w:rPr>
        <w:t xml:space="preserve"> (e.g., </w:t>
      </w:r>
      <w:r w:rsidDel="00000000" w:rsidR="00000000" w:rsidRPr="00000000">
        <w:rPr>
          <w:b w:val="1"/>
          <w:bCs w:val="1"/>
          <w:rtl w:val="0"/>
        </w:rPr>
        <w:t xml:space="preserve">5.47%</w:t>
      </w:r>
      <w:r w:rsidDel="00000000" w:rsidR="00000000" w:rsidRPr="00000000">
        <w:rPr>
          <w:rtl w:val="0"/>
        </w:rPr>
        <w:t xml:space="preserv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rtl w:val="0"/>
        </w:rPr>
        <w:t xml:space="preserve">If you apply both methods consistently to pure operational cash flows, </w:t>
      </w:r>
      <w:r w:rsidDel="00000000" w:rsidR="00000000" w:rsidRPr="00000000">
        <w:rPr>
          <w:b w:val="1"/>
          <w:bCs w:val="1"/>
          <w:rtl w:val="0"/>
        </w:rPr>
        <w:t xml:space="preserve">they yield the exact same Net Present Value (NPV) in today's dollars.</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Side-by-Side Comparison in an NZ Energy Context</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4"/>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Feature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Nominal Basis ("Money of the Day")</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Real Basis ("Constant 2026 Dollars")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Core Definition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Includes expected future inflation (typically </w:t>
            </w:r>
            <w:r w:rsidDel="00000000" w:rsidR="00000000" w:rsidRPr="00000000">
              <w:rPr>
                <w:b w:val="1"/>
                <w:bCs w:val="1"/>
                <w:rtl w:val="0"/>
              </w:rPr>
              <w:t xml:space="preserve">2.0% p.a.</w:t>
            </w:r>
            <w:r w:rsidDel="00000000" w:rsidR="00000000" w:rsidRPr="00000000">
              <w:rPr>
                <w:rtl w:val="0"/>
              </w:rPr>
              <w:t xml:space="preserve">, the RBNZ target midpoint).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Excludes general inflation; all future values are expressed in today's (2026) purchasing power.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How Cash Flows Look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Revenue and OPEX grow each year with CPI. A </w:t>
            </w:r>
            <m:oMath>
              <m:r>
                <w:rPr/>
                <m:t xml:space="preserve">20MO&amp;Mbillin2026becomes~</m:t>
              </m:r>
            </m:oMath>
            <w:r w:rsidDel="00000000" w:rsidR="00000000" w:rsidRPr="00000000">
              <w:rPr>
                <w:rtl w:val="0"/>
              </w:rPr>
              <w:t xml:space="preserve">36.2M on paper by Year 30.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Revenue and OPEX stay flat in constant terms (unless actual physical output or market demand changes).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Typical NZ Energy Rate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7.0% – 8.5%</w:t>
            </w:r>
            <w:r w:rsidDel="00000000" w:rsidR="00000000" w:rsidRPr="00000000">
              <w:rPr>
                <w:rtl w:val="0"/>
              </w:rPr>
              <w:t xml:space="preserve"> (Commercial Gentailer / Storage)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5.9% – 6.0%</w:t>
            </w:r>
            <w:r w:rsidDel="00000000" w:rsidR="00000000" w:rsidRPr="00000000">
              <w:rPr>
                <w:rtl w:val="0"/>
              </w:rPr>
              <w:t xml:space="preserve"> (ComCom Regulated Lines)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5.0% – 6.4%</w:t>
            </w:r>
            <w:r w:rsidDel="00000000" w:rsidR="00000000" w:rsidRPr="00000000">
              <w:rPr>
                <w:rtl w:val="0"/>
              </w:rPr>
              <w:t xml:space="preserve"> (Commercial Gentailer / Storage)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7.0% – 8.0%</w:t>
            </w:r>
            <w:r w:rsidDel="00000000" w:rsidR="00000000" w:rsidRPr="00000000">
              <w:rPr>
                <w:rtl w:val="0"/>
              </w:rPr>
              <w:t xml:space="preserve"> (Transpower GIT / NZ Treasury SOC)</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Mathematical Link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w:t>
            </w:r>
            <w:r w:rsidDel="00000000" w:rsidR="00000000" w:rsidRPr="00000000">
              <w:rPr>
                <w:rFonts w:ascii="Arial" w:cs="Arial" w:eastAsia="Arial" w:hAnsi="Arial"/>
                <w:i w:val="1"/>
                <w:iCs w:val="1"/>
                <w:rtl w:val="0"/>
              </w:rPr>
              <w:t xml:space="preserve">r</w:t>
            </w:r>
            <w:r w:rsidDel="00000000" w:rsidR="00000000" w:rsidRPr="00000000">
              <w:rPr>
                <w:sz w:val="6"/>
                <w:szCs w:val="6"/>
                <w:vertAlign w:val="baseline"/>
                <w:rtl w:val="0"/>
              </w:rPr>
              <w:t xml:space="preserve">nominal</w:t>
            </w:r>
            <w:r w:rsidDel="00000000" w:rsidR="00000000" w:rsidRPr="00000000">
              <w:rPr>
                <w:sz w:val="2"/>
                <w:szCs w:val="2"/>
                <w:vertAlign w:val="baseline"/>
                <w:rtl w:val="0"/>
              </w:rPr>
              <w:t xml:space="preserve">​</w:t>
            </w:r>
            <w:r w:rsidDel="00000000" w:rsidR="00000000" w:rsidRPr="00000000">
              <w:rPr>
                <w:rtl w:val="0"/>
              </w:rPr>
              <w:t xml:space="preserve">=(1+</w:t>
            </w:r>
            <w:r w:rsidDel="00000000" w:rsidR="00000000" w:rsidRPr="00000000">
              <w:rPr>
                <w:rFonts w:ascii="Arial" w:cs="Arial" w:eastAsia="Arial" w:hAnsi="Arial"/>
                <w:i w:val="1"/>
                <w:iCs w:val="1"/>
                <w:rtl w:val="0"/>
              </w:rPr>
              <w:t xml:space="preserve">r</w:t>
            </w:r>
            <w:r w:rsidDel="00000000" w:rsidR="00000000" w:rsidRPr="00000000">
              <w:rPr>
                <w:sz w:val="6"/>
                <w:szCs w:val="6"/>
                <w:vertAlign w:val="baseline"/>
                <w:rtl w:val="0"/>
              </w:rPr>
              <w:t xml:space="preserve">real</w:t>
            </w:r>
            <w:r w:rsidDel="00000000" w:rsidR="00000000" w:rsidRPr="00000000">
              <w:rPr>
                <w:sz w:val="2"/>
                <w:szCs w:val="2"/>
                <w:vertAlign w:val="baseline"/>
                <w:rtl w:val="0"/>
              </w:rPr>
              <w:t xml:space="preserve">​</w:t>
            </w:r>
            <w:r w:rsidDel="00000000" w:rsidR="00000000" w:rsidRPr="00000000">
              <w:rPr>
                <w:rtl w:val="0"/>
              </w:rPr>
              <w:t xml:space="preserve">)×(1+</w:t>
            </w:r>
            <w:r w:rsidDel="00000000" w:rsidR="00000000" w:rsidRPr="00000000">
              <w:rPr>
                <w:rFonts w:ascii="Arial" w:cs="Arial" w:eastAsia="Arial" w:hAnsi="Arial"/>
                <w:i w:val="1"/>
                <w:iCs w:val="1"/>
                <w:rtl w:val="0"/>
              </w:rPr>
              <w:t xml:space="preserve">π</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Rule="auto"/>
              <w:ind w:left="0" w:right="0" w:firstLine="0"/>
              <w:rPr>
                <w:sz w:val="2"/>
                <w:szCs w:val="2"/>
                <w:vertAlign w:val="baseline"/>
              </w:rPr>
            </w:pPr>
            <w:r w:rsidDel="00000000" w:rsidR="00000000" w:rsidRPr="00000000">
              <w:rPr>
                <w:rtl w:val="0"/>
              </w:rPr>
              <w:t xml:space="preserve">1+</w:t>
            </w:r>
            <w:r w:rsidDel="00000000" w:rsidR="00000000" w:rsidRPr="00000000">
              <w:rPr>
                <w:rFonts w:ascii="Arial" w:cs="Arial" w:eastAsia="Arial" w:hAnsi="Arial"/>
                <w:i w:val="1"/>
                <w:iCs w:val="1"/>
                <w:rtl w:val="0"/>
              </w:rPr>
              <w:t xml:space="preserve">r</w:t>
            </w:r>
            <w:r w:rsidDel="00000000" w:rsidR="00000000" w:rsidRPr="00000000">
              <w:rPr>
                <w:sz w:val="6"/>
                <w:szCs w:val="6"/>
                <w:vertAlign w:val="baseline"/>
                <w:rtl w:val="0"/>
              </w:rPr>
              <w:t xml:space="preserve">real</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sz w:val="10"/>
                <w:szCs w:val="10"/>
                <w:vertAlign w:val="baseline"/>
                <w:rtl w:val="0"/>
              </w:rPr>
              <w:t xml:space="preserve">1+</w:t>
            </w:r>
            <w:r w:rsidDel="00000000" w:rsidR="00000000" w:rsidRPr="00000000">
              <w:rPr>
                <w:rFonts w:ascii="Arial" w:cs="Arial" w:eastAsia="Arial" w:hAnsi="Arial"/>
                <w:i w:val="1"/>
                <w:iCs w:val="1"/>
                <w:sz w:val="10"/>
                <w:szCs w:val="10"/>
                <w:vertAlign w:val="baseline"/>
                <w:rtl w:val="0"/>
              </w:rPr>
              <w:t xml:space="preserve">π</w:t>
            </w:r>
            <w:r w:rsidDel="00000000" w:rsidR="00000000" w:rsidRPr="00000000">
              <w:rPr>
                <w:sz w:val="10"/>
                <w:szCs w:val="10"/>
                <w:vertAlign w:val="baseline"/>
                <w:rtl w:val="0"/>
              </w:rPr>
              <w:t xml:space="preserve">1+</w:t>
            </w:r>
            <w:r w:rsidDel="00000000" w:rsidR="00000000" w:rsidRPr="00000000">
              <w:rPr>
                <w:rFonts w:ascii="Arial" w:cs="Arial" w:eastAsia="Arial" w:hAnsi="Arial"/>
                <w:i w:val="1"/>
                <w:iCs w:val="1"/>
                <w:sz w:val="6"/>
                <w:szCs w:val="6"/>
                <w:vertAlign w:val="baseline"/>
                <w:rtl w:val="0"/>
              </w:rPr>
              <w:t xml:space="preserve">r</w:t>
            </w:r>
            <w:r w:rsidDel="00000000" w:rsidR="00000000" w:rsidRPr="00000000">
              <w:rPr>
                <w:sz w:val="2"/>
                <w:szCs w:val="2"/>
                <w:vertAlign w:val="baseline"/>
                <w:rtl w:val="0"/>
              </w:rPr>
              <w:t xml:space="preserve">nominal​​</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Who Uses It in NZ?</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Commercial developers, banks, NZX Gentailers, and </w:t>
            </w:r>
            <w:r w:rsidDel="00000000" w:rsidR="00000000" w:rsidRPr="00000000">
              <w:rPr>
                <w:b w:val="1"/>
                <w:bCs w:val="1"/>
                <w:rtl w:val="0"/>
              </w:rPr>
              <w:t xml:space="preserve">Commerce Commission</w:t>
            </w:r>
            <w:r w:rsidDel="00000000" w:rsidR="00000000" w:rsidRPr="00000000">
              <w:rPr>
                <w:rtl w:val="0"/>
              </w:rPr>
              <w:t xml:space="preserve"> price-path models.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NZ Treasury</w:t>
            </w:r>
            <w:r w:rsidDel="00000000" w:rsidR="00000000" w:rsidRPr="00000000">
              <w:rPr>
                <w:rtl w:val="0"/>
              </w:rPr>
              <w:t xml:space="preserve"> Cost-Benefit Analysis (CBAx), </w:t>
            </w:r>
            <w:r w:rsidDel="00000000" w:rsidR="00000000" w:rsidRPr="00000000">
              <w:rPr>
                <w:b w:val="1"/>
                <w:bCs w:val="1"/>
                <w:rtl w:val="0"/>
              </w:rPr>
              <w:t xml:space="preserve">Electricity Authority</w:t>
            </w:r>
            <w:r w:rsidDel="00000000" w:rsidR="00000000" w:rsidRPr="00000000">
              <w:rPr>
                <w:rtl w:val="0"/>
              </w:rPr>
              <w:t xml:space="preserve">, and </w:t>
            </w:r>
            <w:r w:rsidDel="00000000" w:rsidR="00000000" w:rsidRPr="00000000">
              <w:rPr>
                <w:b w:val="1"/>
                <w:bCs w:val="1"/>
                <w:rtl w:val="0"/>
              </w:rPr>
              <w:t xml:space="preserve">Transpower</w:t>
            </w:r>
            <w:r w:rsidDel="00000000" w:rsidR="00000000" w:rsidRPr="00000000">
              <w:rPr>
                <w:rtl w:val="0"/>
              </w:rPr>
              <w:t xml:space="preserve"> Grid Investment Tests.</w:t>
            </w:r>
          </w:p>
        </w:tc>
      </w:tr>
    </w:tbl>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Worked Numerical Example: How They Produce the Same NPV</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Suppose your New Zealand CAES project generates </w:t>
      </w:r>
      <w:r w:rsidDel="00000000" w:rsidR="00000000" w:rsidRPr="00000000">
        <w:rPr>
          <w:b w:val="1"/>
          <w:bCs w:val="1"/>
          <w:rtl w:val="0"/>
        </w:rPr>
        <w:t xml:space="preserve">$10.00 million</w:t>
      </w:r>
      <w:r w:rsidDel="00000000" w:rsidR="00000000" w:rsidRPr="00000000">
        <w:rPr>
          <w:rtl w:val="0"/>
        </w:rPr>
        <w:t xml:space="preserve"> in net revenue (in today's 2026 dollars) during Year 10, and the Reserve Bank of New Zealand (RBNZ) long-term inflation expectation (</w:t>
      </w:r>
      <w:r w:rsidDel="00000000" w:rsidR="00000000" w:rsidRPr="00000000">
        <w:rPr>
          <w:rFonts w:ascii="Arial" w:cs="Arial" w:eastAsia="Arial" w:hAnsi="Arial"/>
          <w:i w:val="1"/>
          <w:iCs w:val="1"/>
          <w:rtl w:val="0"/>
        </w:rPr>
        <w:t xml:space="preserve">π</w:t>
      </w:r>
      <w:r w:rsidDel="00000000" w:rsidR="00000000" w:rsidRPr="00000000">
        <w:rPr>
          <w:rtl w:val="0"/>
        </w:rPr>
        <w:t xml:space="preserve">) is </w:t>
      </w:r>
      <w:r w:rsidDel="00000000" w:rsidR="00000000" w:rsidRPr="00000000">
        <w:rPr>
          <w:b w:val="1"/>
          <w:bCs w:val="1"/>
          <w:rtl w:val="0"/>
        </w:rPr>
        <w:t xml:space="preserve">2.0% per year</w:t>
      </w:r>
      <w:r w:rsidDel="00000000" w:rsidR="00000000" w:rsidRPr="00000000">
        <w:rPr>
          <w:rtl w:val="0"/>
        </w:rPr>
        <w:t xml:space="preserv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Using the </w:t>
      </w:r>
      <w:r w:rsidDel="00000000" w:rsidR="00000000" w:rsidRPr="00000000">
        <w:rPr>
          <w:b w:val="1"/>
          <w:bCs w:val="1"/>
          <w:rtl w:val="0"/>
        </w:rPr>
        <w:t xml:space="preserve">Fisher Equation</w:t>
      </w:r>
      <w:r w:rsidDel="00000000" w:rsidR="00000000" w:rsidRPr="00000000">
        <w:rPr>
          <w:rtl w:val="0"/>
        </w:rPr>
        <w:t xml:space="preserve">, a </w:t>
      </w:r>
      <w:r w:rsidDel="00000000" w:rsidR="00000000" w:rsidRPr="00000000">
        <w:rPr>
          <w:b w:val="1"/>
          <w:bCs w:val="1"/>
          <w:rtl w:val="0"/>
        </w:rPr>
        <w:t xml:space="preserve">7.58% nominal WACC</w:t>
      </w:r>
      <w:r w:rsidDel="00000000" w:rsidR="00000000" w:rsidRPr="00000000">
        <w:rPr>
          <w:rtl w:val="0"/>
        </w:rPr>
        <w:t xml:space="preserve"> is mathematically equivalent to a </w:t>
      </w:r>
      <w:r w:rsidDel="00000000" w:rsidR="00000000" w:rsidRPr="00000000">
        <w:rPr>
          <w:b w:val="1"/>
          <w:bCs w:val="1"/>
          <w:rtl w:val="0"/>
        </w:rPr>
        <w:t xml:space="preserve">5.47% real WACC</w:t>
      </w:r>
      <w:r w:rsidDel="00000000" w:rsidR="00000000" w:rsidRPr="00000000">
        <w:rPr>
          <w:rtl w:val="0"/>
        </w:rPr>
        <w:t xml:space="preserv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tl w:val="0"/>
        </w:rPr>
        <w:t xml:space="preserve">1+</w:t>
      </w:r>
      <w:r w:rsidDel="00000000" w:rsidR="00000000" w:rsidRPr="00000000">
        <w:rPr>
          <w:rFonts w:ascii="Arial" w:cs="Arial" w:eastAsia="Arial" w:hAnsi="Arial"/>
          <w:i w:val="1"/>
          <w:iCs w:val="1"/>
          <w:rtl w:val="0"/>
        </w:rPr>
        <w:t xml:space="preserve">r</w:t>
      </w:r>
      <w:r w:rsidDel="00000000" w:rsidR="00000000" w:rsidRPr="00000000">
        <w:rPr>
          <w:sz w:val="6"/>
          <w:szCs w:val="6"/>
          <w:vertAlign w:val="baseline"/>
          <w:rtl w:val="0"/>
        </w:rPr>
        <w:t xml:space="preserve">real</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vertAlign w:val="baseline"/>
          <w:rtl w:val="0"/>
        </w:rPr>
        <w:t xml:space="preserve">1.021.0758</w:t>
      </w:r>
      <w:r w:rsidDel="00000000" w:rsidR="00000000" w:rsidRPr="00000000">
        <w:rPr>
          <w:sz w:val="2"/>
          <w:szCs w:val="2"/>
          <w:vertAlign w:val="baseline"/>
          <w:rtl w:val="0"/>
        </w:rPr>
        <w:t xml:space="preserve">​</w:t>
      </w:r>
      <w:r w:rsidDel="00000000" w:rsidR="00000000" w:rsidRPr="00000000">
        <w:rPr>
          <w:rtl w:val="0"/>
        </w:rPr>
        <w:t xml:space="preserve">=1.054706⟹</w:t>
      </w:r>
      <w:r w:rsidDel="00000000" w:rsidR="00000000" w:rsidRPr="00000000">
        <w:rPr>
          <w:rFonts w:ascii="Arial" w:cs="Arial" w:eastAsia="Arial" w:hAnsi="Arial"/>
          <w:i w:val="1"/>
          <w:iCs w:val="1"/>
          <w:rtl w:val="0"/>
        </w:rPr>
        <w:t xml:space="preserve">r</w:t>
      </w:r>
      <w:r w:rsidDel="00000000" w:rsidR="00000000" w:rsidRPr="00000000">
        <w:rPr>
          <w:sz w:val="6"/>
          <w:szCs w:val="6"/>
          <w:vertAlign w:val="baseline"/>
          <w:rtl w:val="0"/>
        </w:rPr>
        <w:t xml:space="preserve">real</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rtl w:val="0"/>
        </w:rPr>
        <w:t xml:space="preserve">5.4706%</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look at how Year 10 cash flow is discounted under both methods:</w:t>
      </w:r>
    </w:p>
    <w:p w:rsidR="00000000" w:rsidDel="00000000" w:rsidP="00000000" w:rsidRDefault="00000000" w:rsidRPr="00000000" w14:paraId="000000C1">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Using the Real Method (Constant 2026 NZD):</w:t>
      </w:r>
    </w:p>
    <w:p w:rsidR="00000000" w:rsidDel="00000000" w:rsidP="00000000" w:rsidRDefault="00000000" w:rsidRPr="00000000" w14:paraId="000000C2">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Year 10 Real Cash Flow:</w:t>
      </w:r>
      <w:r w:rsidDel="00000000" w:rsidR="00000000" w:rsidRPr="00000000">
        <w:rPr>
          <w:rtl w:val="0"/>
        </w:rPr>
        <w:t xml:space="preserve"> </w:t>
      </w:r>
      <w:r w:rsidDel="00000000" w:rsidR="00000000" w:rsidRPr="00000000">
        <w:rPr>
          <w:b w:val="1"/>
          <w:bCs w:val="1"/>
          <w:rtl w:val="0"/>
        </w:rPr>
        <w:t xml:space="preserve">$10.00 million</w:t>
      </w:r>
      <w:r w:rsidDel="00000000" w:rsidR="00000000" w:rsidRPr="00000000">
        <w:rPr>
          <w:rtl w:val="0"/>
        </w:rPr>
        <w:t xml:space="preserve"> (no inflation added).</w:t>
      </w:r>
    </w:p>
    <w:p w:rsidR="00000000" w:rsidDel="00000000" w:rsidP="00000000" w:rsidRDefault="00000000" w:rsidRPr="00000000" w14:paraId="000000C3">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Discount Factor (at 5.4706% Real for 10 years):</w:t>
      </w:r>
      <w:r w:rsidDel="00000000" w:rsidR="00000000" w:rsidRPr="00000000">
        <w:rPr>
          <w:rtl w:val="0"/>
        </w:rPr>
        <w:t xml:space="preserve"> (1.054706)</w:t>
      </w:r>
      <w:r w:rsidDel="00000000" w:rsidR="00000000" w:rsidRPr="00000000">
        <w:rPr>
          <w:sz w:val="10"/>
          <w:szCs w:val="10"/>
          <w:vertAlign w:val="baseline"/>
          <w:rtl w:val="0"/>
        </w:rPr>
        <w:t xml:space="preserve">10</w:t>
      </w:r>
      <w:r w:rsidDel="00000000" w:rsidR="00000000" w:rsidRPr="00000000">
        <w:rPr>
          <w:rtl w:val="0"/>
        </w:rPr>
        <w:t xml:space="preserve">=1.70376</w:t>
      </w:r>
    </w:p>
    <w:p w:rsidR="00000000" w:rsidDel="00000000" w:rsidP="00000000" w:rsidRDefault="00000000" w:rsidRPr="00000000" w14:paraId="000000C4">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Present Value (PV):</w:t>
      </w:r>
      <w:r w:rsidDel="00000000" w:rsidR="00000000" w:rsidRPr="00000000">
        <w:rPr>
          <w:rtl w:val="0"/>
        </w:rPr>
        <w:t xml:space="preserve"> </w:t>
      </w:r>
      <w:r w:rsidDel="00000000" w:rsidR="00000000" w:rsidRPr="00000000">
        <w:rPr>
          <w:sz w:val="10"/>
          <w:szCs w:val="10"/>
          <w:vertAlign w:val="baseline"/>
          <w:rtl w:val="0"/>
        </w:rPr>
        <w:t xml:space="preserve">1.70376$10.00</w:t>
      </w:r>
      <w:r w:rsidDel="00000000" w:rsidR="00000000" w:rsidRPr="00000000">
        <w:rPr>
          <w:sz w:val="6"/>
          <w:szCs w:val="6"/>
          <w:vertAlign w:val="baseline"/>
          <w:rtl w:val="0"/>
        </w:rPr>
        <w:t xml:space="preserve">M</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rtl w:val="0"/>
        </w:rPr>
        <w:t xml:space="preserve">$5.87</w:t>
      </w:r>
      <w:r w:rsidDel="00000000" w:rsidR="00000000" w:rsidRPr="00000000">
        <w:rPr>
          <w:rtl w:val="0"/>
        </w:rPr>
        <w:t xml:space="preserve"> million</w:t>
      </w:r>
    </w:p>
    <w:p w:rsidR="00000000" w:rsidDel="00000000" w:rsidP="00000000" w:rsidRDefault="00000000" w:rsidRPr="00000000" w14:paraId="000000C5">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Using the Nominal Method (Inflated "Money of the Day"):</w:t>
      </w:r>
    </w:p>
    <w:p w:rsidR="00000000" w:rsidDel="00000000" w:rsidP="00000000" w:rsidRDefault="00000000" w:rsidRPr="00000000" w14:paraId="000000C6">
      <w:pPr>
        <w:numPr>
          <w:ilvl w:val="1"/>
          <w:numId w:val="1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Year 10 Nominal Cash Flow:</w:t>
      </w:r>
      <w:r w:rsidDel="00000000" w:rsidR="00000000" w:rsidRPr="00000000">
        <w:rPr>
          <w:rtl w:val="0"/>
        </w:rPr>
        <w:t xml:space="preserve"> $10.00M×(1.02)</w:t>
      </w:r>
      <w:r w:rsidDel="00000000" w:rsidR="00000000" w:rsidRPr="00000000">
        <w:rPr>
          <w:sz w:val="10"/>
          <w:szCs w:val="10"/>
          <w:vertAlign w:val="baseline"/>
          <w:rtl w:val="0"/>
        </w:rPr>
        <w:t xml:space="preserve">10</w:t>
      </w:r>
      <w:r w:rsidDel="00000000" w:rsidR="00000000" w:rsidRPr="00000000">
        <w:rPr>
          <w:rtl w:val="0"/>
        </w:rPr>
        <w:t xml:space="preserve">=</w:t>
      </w:r>
      <w:r w:rsidDel="00000000" w:rsidR="00000000" w:rsidRPr="00000000">
        <w:rPr>
          <w:rFonts w:ascii="Arial" w:cs="Arial" w:eastAsia="Arial" w:hAnsi="Arial"/>
          <w:rtl w:val="0"/>
        </w:rPr>
        <w:t xml:space="preserve">$12.19</w:t>
      </w:r>
      <w:r w:rsidDel="00000000" w:rsidR="00000000" w:rsidRPr="00000000">
        <w:rPr>
          <w:rtl w:val="0"/>
        </w:rPr>
        <w:t xml:space="preserve"> million (inflated at 2% p.a.).</w:t>
      </w:r>
    </w:p>
    <w:p w:rsidR="00000000" w:rsidDel="00000000" w:rsidP="00000000" w:rsidRDefault="00000000" w:rsidRPr="00000000" w14:paraId="000000C7">
      <w:pPr>
        <w:numPr>
          <w:ilvl w:val="1"/>
          <w:numId w:val="1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Discount Factor (at 7.58% Nominal for 10 years):</w:t>
      </w:r>
      <w:r w:rsidDel="00000000" w:rsidR="00000000" w:rsidRPr="00000000">
        <w:rPr>
          <w:rtl w:val="0"/>
        </w:rPr>
        <w:t xml:space="preserve"> (1.0758)</w:t>
      </w:r>
      <w:r w:rsidDel="00000000" w:rsidR="00000000" w:rsidRPr="00000000">
        <w:rPr>
          <w:sz w:val="10"/>
          <w:szCs w:val="10"/>
          <w:vertAlign w:val="baseline"/>
          <w:rtl w:val="0"/>
        </w:rPr>
        <w:t xml:space="preserve">10</w:t>
      </w:r>
      <w:r w:rsidDel="00000000" w:rsidR="00000000" w:rsidRPr="00000000">
        <w:rPr>
          <w:rtl w:val="0"/>
        </w:rPr>
        <w:t xml:space="preserve">=2.07689</w:t>
      </w:r>
    </w:p>
    <w:p w:rsidR="00000000" w:rsidDel="00000000" w:rsidP="00000000" w:rsidRDefault="00000000" w:rsidRPr="00000000" w14:paraId="000000C8">
      <w:pPr>
        <w:numPr>
          <w:ilvl w:val="1"/>
          <w:numId w:val="1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Present Value (PV):</w:t>
      </w:r>
      <w:r w:rsidDel="00000000" w:rsidR="00000000" w:rsidRPr="00000000">
        <w:rPr>
          <w:rtl w:val="0"/>
        </w:rPr>
        <w:t xml:space="preserve"> </w:t>
      </w:r>
      <w:r w:rsidDel="00000000" w:rsidR="00000000" w:rsidRPr="00000000">
        <w:rPr>
          <w:sz w:val="10"/>
          <w:szCs w:val="10"/>
          <w:vertAlign w:val="baseline"/>
          <w:rtl w:val="0"/>
        </w:rPr>
        <w:t xml:space="preserve">2.07689$12.19</w:t>
      </w:r>
      <w:r w:rsidDel="00000000" w:rsidR="00000000" w:rsidRPr="00000000">
        <w:rPr>
          <w:sz w:val="6"/>
          <w:szCs w:val="6"/>
          <w:vertAlign w:val="baseline"/>
          <w:rtl w:val="0"/>
        </w:rPr>
        <w:t xml:space="preserve">M</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rtl w:val="0"/>
        </w:rPr>
        <w:t xml:space="preserve">$5.87</w:t>
      </w:r>
      <w:r w:rsidDel="00000000" w:rsidR="00000000" w:rsidRPr="00000000">
        <w:rPr>
          <w:rtl w:val="0"/>
        </w:rPr>
        <w:t xml:space="preserve"> million</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Because the </w:t>
      </w:r>
      <w:r w:rsidDel="00000000" w:rsidR="00000000" w:rsidRPr="00000000">
        <w:rPr>
          <w:b w:val="1"/>
          <w:bCs w:val="1"/>
          <w:rtl w:val="0"/>
        </w:rPr>
        <w:t xml:space="preserve">2.0% inflation</w:t>
      </w:r>
      <w:r w:rsidDel="00000000" w:rsidR="00000000" w:rsidRPr="00000000">
        <w:rPr>
          <w:rtl w:val="0"/>
        </w:rPr>
        <w:t xml:space="preserve"> added to the top of the fraction in the nominal cash flow is canceled out by the </w:t>
      </w:r>
      <w:r w:rsidDel="00000000" w:rsidR="00000000" w:rsidRPr="00000000">
        <w:rPr>
          <w:b w:val="1"/>
          <w:bCs w:val="1"/>
          <w:rtl w:val="0"/>
        </w:rPr>
        <w:t xml:space="preserve">2.0% inflation</w:t>
      </w:r>
      <w:r w:rsidDel="00000000" w:rsidR="00000000" w:rsidRPr="00000000">
        <w:rPr>
          <w:rtl w:val="0"/>
        </w:rPr>
        <w:t xml:space="preserve"> baked into the bottom of the fraction in the nominal discount rate, both approaches arrive at </w:t>
      </w:r>
      <w:r w:rsidDel="00000000" w:rsidR="00000000" w:rsidRPr="00000000">
        <w:rPr>
          <w:b w:val="1"/>
          <w:bCs w:val="1"/>
          <w:rtl w:val="0"/>
        </w:rPr>
        <w:t xml:space="preserve">$5.87 million</w:t>
      </w:r>
      <w:r w:rsidDel="00000000" w:rsidR="00000000" w:rsidRPr="00000000">
        <w:rPr>
          <w:rtl w:val="0"/>
        </w:rPr>
        <w:t xml:space="preserve">.</w:t>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Why Commercial Energy Models Prefer Nominal (The Tax &amp; Debt Trap)</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both give the same answer, why do commercial investors and banks in New Zealand almost always build </w:t>
      </w:r>
      <w:r w:rsidDel="00000000" w:rsidR="00000000" w:rsidRPr="00000000">
        <w:rPr>
          <w:b w:val="1"/>
          <w:bCs w:val="1"/>
          <w:rtl w:val="0"/>
        </w:rPr>
        <w:t xml:space="preserve">nominal</w:t>
      </w:r>
      <w:r w:rsidDel="00000000" w:rsidR="00000000" w:rsidRPr="00000000">
        <w:rPr>
          <w:rtl w:val="0"/>
        </w:rPr>
        <w:t xml:space="preserve"> models, while government agencies (like the NZ Treasury or Electricity Authority) prefer </w:t>
      </w:r>
      <w:r w:rsidDel="00000000" w:rsidR="00000000" w:rsidRPr="00000000">
        <w:rPr>
          <w:b w:val="1"/>
          <w:bCs w:val="1"/>
          <w:rtl w:val="0"/>
        </w:rPr>
        <w:t xml:space="preserve">real</w:t>
      </w:r>
      <w:r w:rsidDel="00000000" w:rsidR="00000000" w:rsidRPr="00000000">
        <w:rPr>
          <w:rtl w:val="0"/>
        </w:rPr>
        <w:t xml:space="preserve"> models?</w:t>
      </w:r>
    </w:p>
    <w:p w:rsidR="00000000" w:rsidDel="00000000" w:rsidP="00000000" w:rsidRDefault="00000000" w:rsidRPr="00000000" w14:paraId="000000CC">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Public / Economic Models Use "Real" (Pre-Tax):</w:t>
      </w:r>
      <w:r w:rsidDel="00000000" w:rsidR="00000000" w:rsidRPr="00000000">
        <w:rPr>
          <w:rtl w:val="0"/>
        </w:rPr>
        <w:t xml:space="preserve"> Agencies like Transpower (Grid Investment Test) or the NZ Treasury look at society-wide economic resource costs before corporate taxes and debt structuring. Keeping everything in constant 2026 dollars makes it easy to compare long-term costs without inflation distorting the numbers.</w:t>
      </w:r>
    </w:p>
    <w:p w:rsidR="00000000" w:rsidDel="00000000" w:rsidP="00000000" w:rsidRDefault="00000000" w:rsidRPr="00000000" w14:paraId="000000CD">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Commercial Models Use "Nominal" (Post-Tax):</w:t>
      </w:r>
      <w:r w:rsidDel="00000000" w:rsidR="00000000" w:rsidRPr="00000000">
        <w:rPr>
          <w:rtl w:val="0"/>
        </w:rPr>
        <w:t xml:space="preserve"> In a commercial post-tax NPV model, two huge cash flow items </w:t>
      </w:r>
      <w:r w:rsidDel="00000000" w:rsidR="00000000" w:rsidRPr="00000000">
        <w:rPr>
          <w:b w:val="1"/>
          <w:bCs w:val="1"/>
          <w:rtl w:val="0"/>
        </w:rPr>
        <w:t xml:space="preserve">do not inflate with CPI</w:t>
      </w:r>
      <w:r w:rsidDel="00000000" w:rsidR="00000000" w:rsidRPr="00000000">
        <w:rPr>
          <w:rtl w:val="0"/>
        </w:rPr>
        <w:t xml:space="preserve">:</w:t>
      </w:r>
    </w:p>
    <w:p w:rsidR="00000000" w:rsidDel="00000000" w:rsidP="00000000" w:rsidRDefault="00000000" w:rsidRPr="00000000" w14:paraId="000000CE">
      <w:pPr>
        <w:numPr>
          <w:ilvl w:val="1"/>
          <w:numId w:val="1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IRD Tax Depreciation Shields:</w:t>
      </w:r>
      <w:r w:rsidDel="00000000" w:rsidR="00000000" w:rsidRPr="00000000">
        <w:rPr>
          <w:rtl w:val="0"/>
        </w:rPr>
        <w:t xml:space="preserve"> Under New Zealand Inland Revenue (IRD) rules, once you spend, say, $300M building a CAES plant, your tax depreciation deductions are locked in at historical nominal cost. High inflation erodes the real value of those tax deductions over time. A nominal model captures this automatically; a real model will accidentally overstate your tax shield unless you manually deflate your depreciation schedule every year.</w:t>
      </w:r>
    </w:p>
    <w:p w:rsidR="00000000" w:rsidDel="00000000" w:rsidP="00000000" w:rsidRDefault="00000000" w:rsidRPr="00000000" w14:paraId="000000CF">
      <w:pPr>
        <w:numPr>
          <w:ilvl w:val="1"/>
          <w:numId w:val="1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Fixed Debt Repayments:</w:t>
      </w:r>
      <w:r w:rsidDel="00000000" w:rsidR="00000000" w:rsidRPr="00000000">
        <w:rPr>
          <w:rtl w:val="0"/>
        </w:rPr>
        <w:t xml:space="preserve"> Bank principal and fixed-rate interest payments are contracted in nominal dollars.</w:t>
      </w:r>
    </w:p>
    <w:p w:rsidR="00000000" w:rsidDel="00000000" w:rsidP="00000000" w:rsidRDefault="00000000" w:rsidRPr="00000000" w14:paraId="000000D0">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The Fatal Mistake to Avoid: Mixing Real and Nominal</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single most common error rejected by independent peer reviewers in New Zealand infrastructure business cases is </w:t>
      </w:r>
      <w:r w:rsidDel="00000000" w:rsidR="00000000" w:rsidRPr="00000000">
        <w:rPr>
          <w:b w:val="1"/>
          <w:bCs w:val="1"/>
          <w:rtl w:val="0"/>
        </w:rPr>
        <w:t xml:space="preserve">mismatching cash flows and discount rates</w:t>
      </w:r>
      <w:r w:rsidDel="00000000" w:rsidR="00000000" w:rsidRPr="00000000">
        <w:rPr>
          <w:rtl w:val="0"/>
        </w:rPr>
        <w:t xml:space="preserve">:</w:t>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Error 1 (Undervaluing the Project):</w:t>
      </w:r>
      <w:r w:rsidDel="00000000" w:rsidR="00000000" w:rsidRPr="00000000">
        <w:rPr>
          <w:rtl w:val="0"/>
        </w:rPr>
        <w:t xml:space="preserve"> Projecting flat, uninflated cash flows (e.g., keeping electricity arbitrage revenue and O&amp;M at 2026 prices for 30 years) but discounting them at a </w:t>
      </w:r>
      <w:r w:rsidDel="00000000" w:rsidR="00000000" w:rsidRPr="00000000">
        <w:rPr>
          <w:b w:val="1"/>
          <w:bCs w:val="1"/>
          <w:rtl w:val="0"/>
        </w:rPr>
        <w:t xml:space="preserve">7.5% nominal WACC</w:t>
      </w:r>
      <w:r w:rsidDel="00000000" w:rsidR="00000000" w:rsidRPr="00000000">
        <w:rPr>
          <w:rtl w:val="0"/>
        </w:rPr>
        <w:t xml:space="preserve">. Because you penalize the project for inflation in the discount rate without giving it credit for inflation in its revenues, you artificially destroy </w:t>
      </w:r>
      <w:r w:rsidDel="00000000" w:rsidR="00000000" w:rsidRPr="00000000">
        <w:rPr>
          <w:b w:val="1"/>
          <w:bCs w:val="1"/>
          <w:rtl w:val="0"/>
        </w:rPr>
        <w:t xml:space="preserve">20% to 35% of the project's true NPV</w:t>
      </w:r>
      <w:r w:rsidDel="00000000" w:rsidR="00000000" w:rsidRPr="00000000">
        <w:rPr>
          <w:rtl w:val="0"/>
        </w:rPr>
        <w:t xml:space="preserve">.</w:t>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Error 2 (Overvaluing the Project):</w:t>
      </w:r>
      <w:r w:rsidDel="00000000" w:rsidR="00000000" w:rsidRPr="00000000">
        <w:rPr>
          <w:rtl w:val="0"/>
        </w:rPr>
        <w:t xml:space="preserve"> Escalating future electricity revenues with inflation (2% p.a.) but discounting them at a </w:t>
      </w:r>
      <w:r w:rsidDel="00000000" w:rsidR="00000000" w:rsidRPr="00000000">
        <w:rPr>
          <w:b w:val="1"/>
          <w:bCs w:val="1"/>
          <w:rtl w:val="0"/>
        </w:rPr>
        <w:t xml:space="preserve">real</w:t>
      </w:r>
      <w:r w:rsidDel="00000000" w:rsidR="00000000" w:rsidRPr="00000000">
        <w:rPr>
          <w:rtl w:val="0"/>
        </w:rPr>
        <w:t xml:space="preserve"> rate (or a low social rate). This double-counts inflation benefit and wildly inflates the NPV.</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asttrack.govt.nz/__data/assets/pdf_file/0025/27493/43.-Appendix-9-economics_Redacted.pdf" TargetMode="External"/><Relationship Id="rId5" Type="http://schemas.openxmlformats.org/officeDocument/2006/relationships/styles" Target="styles.xml"/><Relationship Id="rId6" Type="http://schemas.openxmlformats.org/officeDocument/2006/relationships/hyperlink" Target="https://gemini.google.com/app/d78db408c50f2e0d" TargetMode="External"/><Relationship Id="rId7" Type="http://schemas.openxmlformats.org/officeDocument/2006/relationships/hyperlink" Target="https://www.ea.govt.nz/projects/our-projects/faqs-new-rules-for-connection-pricing-methodologies/" TargetMode="External"/><Relationship Id="rId8" Type="http://schemas.openxmlformats.org/officeDocument/2006/relationships/hyperlink" Target="https://www.comcom.govt.nz/assets/pdf_file/0022/362524/5B20245D-NZCC-21-Cost-of-capital-determination-EDB-DPP4-and-Transpower-RCP4-25-September-2024.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