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cSub"/>
        <w:bidi w:val="0"/>
        <w:rPr/>
      </w:pPr>
      <w:r>
        <w:rPr/>
        <w:t>Universidade de São Paulo — Instituto Oceanográfico</w:t>
      </w:r>
    </w:p>
    <w:p>
      <w:pPr>
        <w:pStyle w:val="DocSub"/>
        <w:bidi w:val="0"/>
        <w:rPr/>
      </w:pPr>
      <w:r>
        <w:rPr/>
        <w:t xml:space="preserve">Programa de </w:t>
      </w:r>
      <w:r>
        <w:rPr/>
        <w:t>Especialização</w:t>
      </w:r>
      <w:r>
        <w:rPr/>
        <w:t xml:space="preserve"> em Oceanografia</w:t>
      </w:r>
    </w:p>
    <w:p>
      <w:pPr>
        <w:pStyle w:val="DocSub"/>
        <w:bidi w:val="0"/>
        <w:rPr/>
      </w:pPr>
      <w:r>
        <w:rPr/>
        <w:t xml:space="preserve">Área de concentração: Oceanografia Física </w:t>
      </w:r>
    </w:p>
    <w:p>
      <w:pPr>
        <w:pStyle w:val="DocSub"/>
        <w:bidi w:val="0"/>
        <w:rPr/>
      </w:pPr>
      <w:r>
        <w:rPr/>
        <w:t>Disciplina: IOC 5801 — Análise de Marés Oceânicas</w:t>
      </w:r>
    </w:p>
    <w:p>
      <w:pPr>
        <w:pStyle w:val="DocSub"/>
        <w:bidi w:val="0"/>
        <w:rPr/>
      </w:pPr>
      <w:r>
        <w:rPr/>
        <w:t>Aluno: Adriano Caversan</w:t>
      </w:r>
    </w:p>
    <w:p>
      <w:pPr>
        <w:pStyle w:val="DocSub"/>
        <w:bidi w:val="0"/>
        <w:rPr/>
      </w:pPr>
      <w:r>
        <w:rPr/>
        <w:t>Professor: Joseph Harari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1 — Série temporal, análise harmônica e previsão (Cananeia)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A série de nível do mar de Cananeia (25°01'S; 47°55'W), ano de 2020, contém 8784 dados horários. Após a subtração da média (2,1404 m), a análise harmônica com o pacote t_tide identificou 67 constituintes padrão e utilizou 8783 dos 8784 pontos. A previsão explica 78,5 % da variância original (var original = 0,14863 m²; var prevista = 0,11668 m²). A maré em Cananeia é de tipo misto com predomínio semidiurno, dominada pela componente M2 (A = 0,3596 m, g = 91,17°), seguida de S2 (0,2418 m), K2 (0,0699 m) e O1 (0,1039 m).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1.1 — Série temporal de nível do mar, Cananeia 2020 (média subtraída).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1.2 — Nível medido (azul) e previsão de maré t_tide (vermelho), Cananeia 2020.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1.3 — Detalhe de janeiro de 2020: medido vs. previsão.</w:t>
      </w:r>
    </w:p>
    <w:p>
      <w:pPr>
        <w:pStyle w:val="QHead"/>
        <w:bidi w:val="0"/>
        <w:jc w:val="start"/>
        <w:rPr/>
      </w:pPr>
      <w:r>
        <w:rPr/>
      </w:r>
      <w:r>
        <w:br w:type="page"/>
      </w:r>
    </w:p>
    <w:p>
      <w:pPr>
        <w:pStyle w:val="QHead"/>
        <w:bidi w:val="0"/>
        <w:jc w:val="start"/>
        <w:rPr/>
      </w:pPr>
      <w:r>
        <w:rPr/>
        <w:t>Questão 2 — Série residual, análise estatística e espectral (Cananeia)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O resíduo (medição − previsão) apresenta média praticamente nula, confirmando ausência de viés. O desvio padrão de 0,1783 m é comparável à amplitude de maré de componentes climáticas não-harmônicas. A assimetria positiva (0,66) e curtose elevada (4,10) indicam eventos de surgência por tempestade com magnitudes acima da média. O espectro de amplitude do resíduo revela energia em períodos de 4–15 dias, associados a sistemas frontais e anticiclones que transitam pela costa sudeste.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Estatística</w:t>
            </w:r>
          </w:p>
        </w:tc>
        <w:tc>
          <w:tcPr>
            <w:tcW w:w="4820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Valor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Média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0,0003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Mediana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−</w:t>
            </w:r>
            <w:r>
              <w:rPr/>
              <w:t>0,0170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Desvio padrão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0,1783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Mínimo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−</w:t>
            </w:r>
            <w:r>
              <w:rPr/>
              <w:t>0,6019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Máximo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0,8614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Curtose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4,0979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Assimetria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0,6563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2.1 — Nível do mar (azul) e série residual (vermelho), Cananeia 2020.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2.2 — Espectro de amplitude (FFT, janela Hann, eixo 1–30 dias) do resíduo. Picos em ~10 e ~14 dias correspondem a sistemas sinóticos.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3 — Nível médio do mar: filtro S24S25S25 (Cananeia)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O filtro de médias móveis S24S25S25 elimina as componentes de maré (períodos ≤ 24 h) e revela a variabilidade de baixa frequência. O nível médio horário tem DP = 0,1709 m (mínimo −0,41 m; máximo +0,49 m). Para a análise espectral, computou-se a média diária (366 pontos) antes da FFT, reduzindo o número de bins e concentrando a energia nos períodos de interesse. O espectro mostra dominância de variabilidade sinótica (5–20 dias), associada a frentes frias e sistemas de alta pressão que afetam a costa sudeste. O sinal anual (SA = 0,09 m da análise harmônica) não aparece como pico distinto no FFT por conter apenas 1 ciclo completo na série — limitação inerente ao método para registros de 1 ano.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Estatística</w:t>
            </w:r>
          </w:p>
        </w:tc>
        <w:tc>
          <w:tcPr>
            <w:tcW w:w="4820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Valor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Média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0,0002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Desvio padrão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0,1709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Mínimo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−</w:t>
            </w:r>
            <w:r>
              <w:rPr/>
              <w:t>0,4064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Máximo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0,4937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Curtose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3,1516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Assimetria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0,3760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3.1 — Nível do mar (azul) e nível médio S24S25S25 (vermelho), Cananeia 2020.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3.2 — Espectro (FFT de média diária, 5–366 dias) do nível médio do mar. Pico sinótico em T ~ 5–20 dias.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4 — Probabilidades de excedência/não excedência e períodos de retorno (Cananeia)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Distribuições normais foram ajustadas ao nível do mar total, à maré prevista e ao nível médio do mar. Os níveis de retorno mostram que a variabilidade meteorológica (nível médio) representa ~43 % do nível de retorno de 1 ano, evidenciando a importância da maré meteorológica nos estudos de eventos extremos em Cananeia. Os valores abaixo são relativos à média de cada série.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Série</w:t>
            </w:r>
          </w:p>
        </w:tc>
        <w:tc>
          <w:tcPr>
            <w:tcW w:w="1606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T = 0,5 a</w:t>
            </w:r>
          </w:p>
        </w:tc>
        <w:tc>
          <w:tcPr>
            <w:tcW w:w="1606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T = 1 a</w:t>
            </w:r>
          </w:p>
        </w:tc>
        <w:tc>
          <w:tcPr>
            <w:tcW w:w="160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T = 2 a</w:t>
            </w:r>
          </w:p>
        </w:tc>
        <w:tc>
          <w:tcPr>
            <w:tcW w:w="1606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T = 5 a</w:t>
            </w:r>
          </w:p>
        </w:tc>
        <w:tc>
          <w:tcPr>
            <w:tcW w:w="160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T = 10 a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Nível do mar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1,35 m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1,42 m</w:t>
            </w:r>
          </w:p>
        </w:tc>
        <w:tc>
          <w:tcPr>
            <w:tcW w:w="160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1,48 m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1,58 m</w:t>
            </w:r>
          </w:p>
        </w:tc>
        <w:tc>
          <w:tcPr>
            <w:tcW w:w="160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1,64 m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Maré (previsão)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1,20 m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1,26 m</w:t>
            </w:r>
          </w:p>
        </w:tc>
        <w:tc>
          <w:tcPr>
            <w:tcW w:w="160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1,31 m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1,40 m</w:t>
            </w:r>
          </w:p>
        </w:tc>
        <w:tc>
          <w:tcPr>
            <w:tcW w:w="160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1,46 m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Nível médio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0,60 m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0,63 m</w:t>
            </w:r>
          </w:p>
        </w:tc>
        <w:tc>
          <w:tcPr>
            <w:tcW w:w="160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0,66 m</w:t>
            </w:r>
          </w:p>
        </w:tc>
        <w:tc>
          <w:tcPr>
            <w:tcW w:w="160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0,70 m</w:t>
            </w:r>
          </w:p>
        </w:tc>
        <w:tc>
          <w:tcPr>
            <w:tcW w:w="160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0,73 m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2879725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4.1 — Probabilidade de excedência.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2879725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4.2 — Probabilidade de não excedência.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2879725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4.3 — Períodos de retorno.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5 — Amplificação/atenuação e atrasos das componentes O1, K1, M2, S2 entre Cananeia e Ubatuba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A análise harmônica foi realizada também para Ubatuba (23°30'S; 45°07'W), que explica 73,2 % da variância. A razão hrel = H_Can/H_Uba &gt; 1 para M2 e S2 indica que Cananeia amplifica as componentes semidiurnas em relação a Ubatuba — possivelmente devido à geometria do estuário/baía de Cananeia. Para as componentes diurnas (O1, K1), as amplitudes são ligeiramente menores em Cananeia. As defasagens positivas (Cananeia adiantada) indicam que a onda de maré percorre a costa no sentido NE → SW, atingindo Cananeia antes de Ubatuba.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Comp.</w:t>
            </w:r>
          </w:p>
        </w:tc>
        <w:tc>
          <w:tcPr>
            <w:tcW w:w="137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H_Can (m)</w:t>
            </w:r>
          </w:p>
        </w:tc>
        <w:tc>
          <w:tcPr>
            <w:tcW w:w="137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g_Can (°)</w:t>
            </w:r>
          </w:p>
        </w:tc>
        <w:tc>
          <w:tcPr>
            <w:tcW w:w="137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H_Uba (m)</w:t>
            </w:r>
          </w:p>
        </w:tc>
        <w:tc>
          <w:tcPr>
            <w:tcW w:w="137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g_Uba (°)</w:t>
            </w:r>
          </w:p>
        </w:tc>
        <w:tc>
          <w:tcPr>
            <w:tcW w:w="137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hrel (Can/Uba)</w:t>
            </w:r>
          </w:p>
        </w:tc>
        <w:tc>
          <w:tcPr>
            <w:tcW w:w="137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Defas. (min)</w:t>
            </w:r>
          </w:p>
        </w:tc>
      </w:tr>
      <w:tr>
        <w:trPr/>
        <w:tc>
          <w:tcPr>
            <w:tcW w:w="137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O1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0,1039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83,22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0,1071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80,71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0,969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10,8</w:t>
            </w:r>
          </w:p>
        </w:tc>
      </w:tr>
      <w:tr>
        <w:trPr/>
        <w:tc>
          <w:tcPr>
            <w:tcW w:w="137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K1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0,0575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140,79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0,0605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140,02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0,951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3,1</w:t>
            </w:r>
          </w:p>
        </w:tc>
      </w:tr>
      <w:tr>
        <w:trPr/>
        <w:tc>
          <w:tcPr>
            <w:tcW w:w="137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M2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0,3596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91,17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0,3101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77,84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1,160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27,6</w:t>
            </w:r>
          </w:p>
        </w:tc>
      </w:tr>
      <w:tr>
        <w:trPr/>
        <w:tc>
          <w:tcPr>
            <w:tcW w:w="1376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S2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0,2418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97,81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0,1853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83,87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1,305</w:t>
            </w:r>
          </w:p>
        </w:tc>
        <w:tc>
          <w:tcPr>
            <w:tcW w:w="137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27,9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2879725"/>
            <wp:effectExtent l="0" t="0" r="0" b="0"/>
            <wp:wrapTopAndBottom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5.1 — Componente O1: Cananeia (azul) vs. Ubatuba (vermelho). hrel = 0,969; defas. = 10,8 min.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2879725"/>
            <wp:effectExtent l="0" t="0" r="0" b="0"/>
            <wp:wrapTopAndBottom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5.2 — Componente K1: Cananeia (azul) vs. Ubatuba (vermelho). hrel = 0,951; defas. = 3,1 min.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2879725"/>
            <wp:effectExtent l="0" t="0" r="0" b="0"/>
            <wp:wrapTopAndBottom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5.3 — Componente M2: Cananeia (azul) vs. Ubatuba (vermelho). hrel = 1,160; defas. = 27,6 min.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2879725"/>
            <wp:effectExtent l="0" t="0" r="0" b="0"/>
            <wp:wrapTopAndBottom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5.4 — Componente S2: Cananeia (azul) vs. Ubatuba (vermelho). hrel = 1,305; defas. = 27,9 min.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6 — Comparação do nível médio: Cananeia vs. Ubatuba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As séries de nível médio (filtro S24S25S25) de Cananeia e Ubatuba foram comparadas por plotagem sobrepostas, diagrama de espalhamento e correlação cruzada. O skill score R² = 0,549 indica correlação moderada entre as duas estações (~250 km de separação), esperada para sinais de maré meteorológica que têm coerência regional mas também componentes locais. O viés nulo confirma a adequação da remoção das médias. O RMSE de 0,106 m reflete diferenças na resposta local ao forçamento meteorológico. A correlação cruzada apresenta pico próximo ao lag zero, sem defasagem expressiva.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Parâmetro</w:t>
            </w:r>
          </w:p>
        </w:tc>
        <w:tc>
          <w:tcPr>
            <w:tcW w:w="4820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Valor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R² (skill score)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0,549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Viés (Uba − Can)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0,000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RMSE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0,106 m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6.1 — Nível médio do mar: Cananeia (azul) vs. Ubatuba (vermelho), 2020.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959860"/>
            <wp:effectExtent l="0" t="0" r="0" b="0"/>
            <wp:wrapTopAndBottom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6.2 — Diagrama de espalhamento do nível médio (linha diagonal = 1:1).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6.3 — Correlação cruzada (unnormalizada) do nível médio entre Cananeia e Ubatuba.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7 — Correntes de maré em Santos: séries, análise harmônica e previsão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Os dados de correntes na região costeira de Santos (24°01'S; 46°20'W) cobrem ~38,6 dias (1855 amostras a cada 30 min). A análise rotacional (corrente complexa u + iv) explica 91,5 % da variância sintetizada em EW e 71,5 % em NS. A análise por mínimos quadrados explica 84,9 % (EW) e 67,7 % (NS). A componente K1 é a mais energética (semieixo maior = 0,129 m/s), seguida de S2 (0,062 m/s). M2 tem SNR &lt; 2 e não é significativa estatisticamente. O maior percentual explicado em EW reflete a propagação preferencial das correntes de maré ao longo da costa nessa direção.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599815"/>
            <wp:effectExtent l="0" t="0" r="0" b="0"/>
            <wp:wrapTopAndBottom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7.1 — Séries de correntes EW (cima) e NS (baixo), Santos.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599815"/>
            <wp:effectExtent l="0" t="0" r="0" b="0"/>
            <wp:wrapTopAndBottom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7.2 — Correntes medidas (azul) vs. previsão de maré rotacional (vermelho): EW e NS, Santos.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8 — Elipses das correntes de maré M2, S2, K1, O1 em Santos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As elipses foram construídas combinando as amplitudes e fases das componentes EW e NS. K1 domina com a maior elipse (H_ew = 0,037 m/s, H_ns = 0,128 m/s, inclinação 223°/283°). S2 tem a segunda maior elipse (H_ew = 0,016 m/s, H_ns = 0,062 m/s). M2 e O1 são muito pequenas (&lt; 0,03 m/s em todos os eixos). A orientação predominante NE-SW das elipses de K1 e S2 é consistente com a geometria do canal estuarino de Santos/São Vicente.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27"/>
        <w:gridCol w:w="1927"/>
        <w:gridCol w:w="1928"/>
        <w:gridCol w:w="1927"/>
        <w:gridCol w:w="1929"/>
      </w:tblGrid>
      <w:tr>
        <w:trPr>
          <w:tblHeader w:val="true"/>
        </w:trPr>
        <w:tc>
          <w:tcPr>
            <w:tcW w:w="192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Comp.</w:t>
            </w:r>
          </w:p>
        </w:tc>
        <w:tc>
          <w:tcPr>
            <w:tcW w:w="192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H_EW (m/s)</w:t>
            </w:r>
          </w:p>
        </w:tc>
        <w:tc>
          <w:tcPr>
            <w:tcW w:w="1928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g_EW (°)</w:t>
            </w:r>
          </w:p>
        </w:tc>
        <w:tc>
          <w:tcPr>
            <w:tcW w:w="192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H_NS (m/s)</w:t>
            </w:r>
          </w:p>
        </w:tc>
        <w:tc>
          <w:tcPr>
            <w:tcW w:w="1929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g_NS (°)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M2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0,0095</w:t>
            </w:r>
          </w:p>
        </w:tc>
        <w:tc>
          <w:tcPr>
            <w:tcW w:w="192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43,56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0,0288</w:t>
            </w:r>
          </w:p>
        </w:tc>
        <w:tc>
          <w:tcPr>
            <w:tcW w:w="1929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59,89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S2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0,0159</w:t>
            </w:r>
          </w:p>
        </w:tc>
        <w:tc>
          <w:tcPr>
            <w:tcW w:w="192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62,25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0,0618</w:t>
            </w:r>
          </w:p>
        </w:tc>
        <w:tc>
          <w:tcPr>
            <w:tcW w:w="1929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133,48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K1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0,0369</w:t>
            </w:r>
          </w:p>
        </w:tc>
        <w:tc>
          <w:tcPr>
            <w:tcW w:w="192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223,15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0,1278</w:t>
            </w:r>
          </w:p>
        </w:tc>
        <w:tc>
          <w:tcPr>
            <w:tcW w:w="1929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283,45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O1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0,0207</w:t>
            </w:r>
          </w:p>
        </w:tc>
        <w:tc>
          <w:tcPr>
            <w:tcW w:w="192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334,26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0,0047</w:t>
            </w:r>
          </w:p>
        </w:tc>
        <w:tc>
          <w:tcPr>
            <w:tcW w:w="1929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197,27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4679950"/>
            <wp:effectExtent l="0" t="0" r="0" b="0"/>
            <wp:wrapTopAndBottom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7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8.1 — Elipses de correntes de maré para M2, S2, K1 e O1, Santos.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9 — Resíduos das correntes de maré (Santos)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Os resíduos (medição − previsão rotacional) mostram amplitudes muito superiores ao sinal de maré previsto: DP_EW = 0,139 m/s e DP_NS = 0,205 m/s, com extremos de ±0,36 m/s em EW e ±0,65 m/s em NS. Isso confirma que as correntes na região costeira de Santos são dominadas por forçantes não-periódicas: variações de vento, gradiente de pressão baroclínico e maré meteorológica. Os episódios de correntes mais intensas nos resíduos coincidem com passagens de frentes frias ao longo da costa sudeste.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27"/>
        <w:gridCol w:w="1927"/>
        <w:gridCol w:w="1928"/>
        <w:gridCol w:w="1927"/>
        <w:gridCol w:w="1929"/>
      </w:tblGrid>
      <w:tr>
        <w:trPr>
          <w:tblHeader w:val="true"/>
        </w:trPr>
        <w:tc>
          <w:tcPr>
            <w:tcW w:w="192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Componente</w:t>
            </w:r>
          </w:p>
        </w:tc>
        <w:tc>
          <w:tcPr>
            <w:tcW w:w="192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Média (m/s)</w:t>
            </w:r>
          </w:p>
        </w:tc>
        <w:tc>
          <w:tcPr>
            <w:tcW w:w="1928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DP (m/s)</w:t>
            </w:r>
          </w:p>
        </w:tc>
        <w:tc>
          <w:tcPr>
            <w:tcW w:w="1927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Mínimo (m/s)</w:t>
            </w:r>
          </w:p>
        </w:tc>
        <w:tc>
          <w:tcPr>
            <w:tcW w:w="1929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Máximo (m/s)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EW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−</w:t>
            </w:r>
            <w:r>
              <w:rPr/>
              <w:t>0,0008</w:t>
            </w:r>
          </w:p>
        </w:tc>
        <w:tc>
          <w:tcPr>
            <w:tcW w:w="192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0,1390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−</w:t>
            </w:r>
            <w:r>
              <w:rPr/>
              <w:t>0,3609</w:t>
            </w:r>
          </w:p>
        </w:tc>
        <w:tc>
          <w:tcPr>
            <w:tcW w:w="1929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0,3733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NS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0,0017</w:t>
            </w:r>
          </w:p>
        </w:tc>
        <w:tc>
          <w:tcPr>
            <w:tcW w:w="192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0,2045</w:t>
            </w:r>
          </w:p>
        </w:tc>
        <w:tc>
          <w:tcPr>
            <w:tcW w:w="1927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−</w:t>
            </w:r>
            <w:r>
              <w:rPr/>
              <w:t>0,6283</w:t>
            </w:r>
          </w:p>
        </w:tc>
        <w:tc>
          <w:tcPr>
            <w:tcW w:w="1929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0,6545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599815"/>
            <wp:effectExtent l="0" t="0" r="0" b="0"/>
            <wp:wrapTopAndBottom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9.1 — Resíduos de correntes EW (cima) e NS (baixo), Santos.</w:t>
      </w:r>
    </w:p>
    <w:p>
      <w:pPr>
        <w:pStyle w:val="QHead"/>
        <w:bidi w:val="0"/>
        <w:spacing w:before="340" w:after="113"/>
        <w:jc w:val="start"/>
        <w:rPr/>
      </w:pPr>
      <w:r>
        <w:rPr/>
        <w:t>Questão 10 — Nível do mar vs. temperatura no fundo (Santos)</w:t>
      </w:r>
    </w:p>
    <w:p>
      <w:pPr>
        <w:pStyle w:val="Body"/>
        <w:bidi w:val="0"/>
        <w:spacing w:before="28" w:after="113"/>
        <w:ind w:hanging="0"/>
        <w:jc w:val="start"/>
        <w:rPr/>
      </w:pPr>
      <w:r>
        <w:rPr/>
        <w:t>A correlação entre nível do mar e temperatura no fundo em Santos é fraca (r = 0,185; R² = 0,034), indicando que a temperatura não é primariamente controlada pelo nível. Contudo, a correlação cruzada apresenta pico de 0,327 com defasagem de −21 h: a temperatura no fundo lidera o nível por ~21 h. Essa relação pode refletir intrusões de água fria da plataforma (advecção baroclínica) que elevam o nível local com defasagem em relação à variação de temperatura no fundo. Nível: média = 0,00 m; DP = 0,375 m (range: −1,05 a +1,00 m). Temperatura: média = 23,77 °C; DP = 1,69 °C (range: 20,25–26,85 °C).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Parâmetro</w:t>
            </w:r>
          </w:p>
        </w:tc>
        <w:tc>
          <w:tcPr>
            <w:tcW w:w="4820" w:type="dxa"/>
            <w:tcBorders/>
          </w:tcPr>
          <w:p>
            <w:pPr>
              <w:pStyle w:val="TCHdr"/>
              <w:bidi w:val="0"/>
              <w:spacing w:before="28" w:after="28"/>
              <w:jc w:val="start"/>
              <w:rPr/>
            </w:pPr>
            <w:r>
              <w:rPr/>
              <w:t>Valor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Correlação r (nível vs T)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0,185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R²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0,034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Xcorr máx (normalizada)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0,327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Defasagem xcorr máx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−</w:t>
            </w:r>
            <w:r>
              <w:rPr/>
              <w:t>21 h (T lidera)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Nível: DP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0,375 m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Temperatura: média / DP</w:t>
            </w:r>
          </w:p>
        </w:tc>
        <w:tc>
          <w:tcPr>
            <w:tcW w:w="4820" w:type="dxa"/>
            <w:tcBorders/>
          </w:tcPr>
          <w:p>
            <w:pPr>
              <w:pStyle w:val="TCCell"/>
              <w:bidi w:val="0"/>
              <w:spacing w:before="28" w:after="28"/>
              <w:jc w:val="start"/>
              <w:rPr/>
            </w:pPr>
            <w:r>
              <w:rPr/>
              <w:t>23,77 °C / 1,69 °C</w:t>
            </w:r>
          </w:p>
        </w:tc>
      </w:tr>
    </w:tbl>
    <w:p>
      <w:pPr>
        <w:pStyle w:val="Body"/>
        <w:bidi w:val="0"/>
        <w:spacing w:before="28" w:after="113"/>
        <w:ind w:hanging="0"/>
        <w:jc w:val="start"/>
        <w:rPr/>
      </w:pPr>
      <w:r>
        <w:rPr/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599815"/>
            <wp:effectExtent l="0" t="0" r="0" b="0"/>
            <wp:wrapTopAndBottom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10.1 — Nível do mar (cima) e temperatura no fundo (baixo), Santos.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959860"/>
            <wp:effectExtent l="0" t="0" r="0" b="0"/>
            <wp:wrapTopAndBottom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10.2 — Diagrama de espalhamento: nível do mar vs. temperatura.</w:t>
      </w:r>
    </w:p>
    <w:p>
      <w:pPr>
        <w:pStyle w:val="Caption"/>
        <w:bidi w:val="0"/>
        <w:spacing w:before="28" w:after="227"/>
        <w:jc w:val="center"/>
        <w:rPr/>
      </w:pPr>
      <w:r>
        <w:rPr/>
        <w:drawing>
          <wp:anchor distT="71755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085" cy="3239770"/>
            <wp:effectExtent l="0" t="0" r="0" b="0"/>
            <wp:wrapTopAndBottom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bidi w:val="0"/>
        <w:spacing w:before="28" w:after="227"/>
        <w:jc w:val="center"/>
        <w:rPr/>
      </w:pPr>
      <w:r>
        <w:rPr/>
        <w:t>Fig. 10.3 — Correlação cruzada (normalizada) entre nível do mar e temperatura no fundo.</w:t>
      </w:r>
    </w:p>
    <w:sectPr>
      <w:headerReference w:type="default" r:id="rId26"/>
      <w:footerReference w:type="default" r:id="rId27"/>
      <w:type w:val="nextPage"/>
      <w:pgSz w:w="11906" w:h="16838"/>
      <w:pgMar w:left="1134" w:right="1134" w:gutter="0" w:header="1134" w:top="1785" w:footer="1134" w:bottom="1969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t xml:space="preserve">Adriano Caversan - Análise de marés oceânicas - IOC 5801 </w:t>
    </w:r>
  </w:p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bookmarkEnd w:id="0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DocTitle"/>
      <w:bidi w:val="0"/>
      <w:spacing w:before="0" w:after="170"/>
      <w:rPr/>
    </w:pPr>
    <w:r>
      <w:rPr/>
      <w:t>2ª Lista de Exercícios — 1º Semestre de 2026</w:t>
    </w:r>
  </w:p>
</w:hdr>
</file>

<file path=word/settings.xml><?xml version="1.0" encoding="utf-8"?>
<w:settings xmlns:w="http://schemas.openxmlformats.org/wordprocessingml/2006/main">
  <w:zoom w:percent="9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pt-BR" w:eastAsia="zh-CN" w:bidi="hi-IN"/>
    </w:rPr>
  </w:style>
  <w:style w:type="paragraph" w:styleId="DocTitle">
    <w:name w:val="DocTitle"/>
    <w:qFormat/>
    <w:pPr>
      <w:widowControl w:val="false"/>
      <w:bidi w:val="0"/>
      <w:spacing w:before="454" w:after="170"/>
      <w:jc w:val="center"/>
    </w:pPr>
    <w:rPr>
      <w:b/>
      <w:sz w:val="32"/>
      <w:lang w:val="pt-BR" w:eastAsia="zh-CN" w:bidi="hi-IN"/>
    </w:rPr>
  </w:style>
  <w:style w:type="paragraph" w:styleId="DocSub">
    <w:name w:val="DocSub"/>
    <w:qFormat/>
    <w:pPr>
      <w:widowControl w:val="false"/>
      <w:bidi w:val="0"/>
      <w:spacing w:before="0" w:after="85"/>
      <w:jc w:val="center"/>
    </w:pPr>
    <w:rPr>
      <w:sz w:val="22"/>
      <w:lang w:val="pt-BR" w:eastAsia="zh-CN" w:bidi="hi-IN"/>
    </w:rPr>
  </w:style>
  <w:style w:type="paragraph" w:styleId="QHead">
    <w:name w:val="QHead"/>
    <w:qFormat/>
    <w:pPr>
      <w:widowControl w:val="false"/>
      <w:bidi w:val="0"/>
      <w:spacing w:before="340" w:after="113"/>
    </w:pPr>
    <w:rPr>
      <w:b/>
      <w:color w:val="1F497D"/>
      <w:sz w:val="26"/>
      <w:lang w:val="pt-BR" w:eastAsia="zh-CN" w:bidi="hi-IN"/>
    </w:rPr>
  </w:style>
  <w:style w:type="paragraph" w:styleId="SubHead">
    <w:name w:val="SubHead"/>
    <w:qFormat/>
    <w:pPr>
      <w:widowControl w:val="false"/>
      <w:bidi w:val="0"/>
      <w:spacing w:before="170" w:after="57"/>
    </w:pPr>
    <w:rPr>
      <w:b/>
      <w:sz w:val="22"/>
      <w:lang w:val="pt-BR" w:eastAsia="zh-CN" w:bidi="hi-IN"/>
    </w:rPr>
  </w:style>
  <w:style w:type="paragraph" w:styleId="Body">
    <w:name w:val="Body"/>
    <w:qFormat/>
    <w:pPr>
      <w:widowControl w:val="false"/>
      <w:bidi w:val="0"/>
      <w:spacing w:before="28" w:after="113"/>
      <w:ind w:hanging="0"/>
    </w:pPr>
    <w:rPr>
      <w:sz w:val="22"/>
      <w:lang w:val="pt-BR" w:eastAsia="zh-CN" w:bidi="hi-IN"/>
    </w:rPr>
  </w:style>
  <w:style w:type="paragraph" w:styleId="Caption">
    <w:name w:val="caption"/>
    <w:qFormat/>
    <w:pPr>
      <w:widowControl w:val="false"/>
      <w:bidi w:val="0"/>
      <w:spacing w:before="28" w:after="227"/>
      <w:jc w:val="center"/>
    </w:pPr>
    <w:rPr>
      <w:i/>
      <w:sz w:val="18"/>
      <w:lang w:val="pt-BR" w:eastAsia="zh-CN" w:bidi="hi-IN"/>
    </w:rPr>
  </w:style>
  <w:style w:type="paragraph" w:styleId="TCHdr">
    <w:name w:val="TCHdr"/>
    <w:qFormat/>
    <w:pPr>
      <w:widowControl w:val="false"/>
      <w:bidi w:val="0"/>
      <w:spacing w:before="28" w:after="28"/>
    </w:pPr>
    <w:rPr>
      <w:b/>
      <w:sz w:val="20"/>
      <w:lang w:val="pt-BR" w:eastAsia="zh-CN" w:bidi="hi-IN"/>
    </w:rPr>
  </w:style>
  <w:style w:type="paragraph" w:styleId="TCCell">
    <w:name w:val="TCCell"/>
    <w:qFormat/>
    <w:pPr>
      <w:widowControl w:val="false"/>
      <w:bidi w:val="0"/>
      <w:spacing w:before="28" w:after="28"/>
    </w:pPr>
    <w:rPr>
      <w:sz w:val="20"/>
      <w:lang w:val="pt-BR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LibreOffice/26.2.3.2$Windows_X86_64 LibreOffice_project/70e089b17412e4cb7773e41413306b17a2328c34</Application>
  <AppVersion>15.0000</AppVersion>
  <Pages>17</Pages>
  <Words>1601</Words>
  <Characters>7893</Characters>
  <CharactersWithSpaces>9317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2026-06-01T16:14:35Z</cp:lastPrinted>
  <dcterms:modified xsi:type="dcterms:W3CDTF">2026-06-01T16:14:17Z</dcterms:modified>
  <cp:revision>3</cp:revision>
  <dc:subject/>
  <dc:title/>
</cp:coreProperties>
</file>