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DocSub"/>
        <w:bidi w:val="0"/>
        <w:spacing w:before="0" w:after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Universidade de São Paulo — Instituto Oceanográfico</w:t>
      </w:r>
    </w:p>
    <w:p>
      <w:pPr>
        <w:pStyle w:val="DocSub"/>
        <w:bidi w:val="0"/>
        <w:spacing w:before="0" w:after="0"/>
        <w:jc w:val="center"/>
        <w:rPr>
          <w:b/>
          <w:bCs/>
        </w:rPr>
      </w:pPr>
      <w:r>
        <w:rPr>
          <w:b/>
          <w:bCs/>
        </w:rPr>
      </w:r>
    </w:p>
    <w:p>
      <w:pPr>
        <w:pStyle w:val="DocSub"/>
        <w:bidi w:val="0"/>
        <w:spacing w:before="0" w:after="0"/>
        <w:jc w:val="start"/>
        <w:rPr/>
      </w:pPr>
      <w:r>
        <w:rPr/>
        <w:t xml:space="preserve">Curso de pós-graduação: Oceanografia </w:t>
      </w:r>
    </w:p>
    <w:p>
      <w:pPr>
        <w:pStyle w:val="DocSub"/>
        <w:bidi w:val="0"/>
        <w:spacing w:before="0" w:after="0"/>
        <w:jc w:val="start"/>
        <w:rPr/>
      </w:pPr>
      <w:r>
        <w:rPr/>
        <w:t xml:space="preserve">Área de concentração: Oceanografia Física  </w:t>
      </w:r>
    </w:p>
    <w:p>
      <w:pPr>
        <w:pStyle w:val="DocSub"/>
        <w:bidi w:val="0"/>
        <w:spacing w:before="0" w:after="0"/>
        <w:jc w:val="start"/>
        <w:rPr/>
      </w:pPr>
      <w:r>
        <w:rPr/>
        <w:t>Disciplina: IOC 5801 — Análise de Marés Oceânicas</w:t>
      </w:r>
    </w:p>
    <w:p>
      <w:pPr>
        <w:pStyle w:val="DocSub"/>
        <w:bidi w:val="0"/>
        <w:spacing w:before="0" w:after="0"/>
        <w:jc w:val="start"/>
        <w:rPr/>
      </w:pPr>
      <w:r>
        <w:rPr/>
        <w:t>Aluno: Adriano Caversan</w:t>
      </w:r>
    </w:p>
    <w:p>
      <w:pPr>
        <w:pStyle w:val="DocSub"/>
        <w:bidi w:val="0"/>
        <w:spacing w:before="0" w:after="0"/>
        <w:jc w:val="start"/>
        <w:rPr/>
      </w:pPr>
      <w:r>
        <w:rPr/>
        <w:t>Professor: Joseph Harari</w:t>
      </w:r>
    </w:p>
    <w:p>
      <w:pPr>
        <w:pStyle w:val="Body"/>
        <w:bidi w:val="0"/>
        <w:spacing w:before="0" w:after="0"/>
        <w:jc w:val="start"/>
        <w:rPr/>
      </w:pPr>
      <w:r>
        <w:rPr/>
      </w:r>
    </w:p>
    <w:p>
      <w:pPr>
        <w:pStyle w:val="DocSub"/>
        <w:bidi w:val="0"/>
        <w:spacing w:before="0" w:after="0"/>
        <w:jc w:val="start"/>
        <w:rPr/>
      </w:pPr>
      <w:r>
        <w:rPr>
          <w:b/>
          <w:bCs/>
        </w:rPr>
        <w:t>Arquivos de dados a processar:</w:t>
      </w:r>
      <w:r>
        <w:rPr/>
        <w:t xml:space="preserve"> Dados de Cananéia (25°01,0’S 47°55,5’W) e Ubatuba (23°30,0’S 45°07,3’W), nos arquivos Cananeia_2000.dat e Ubatuba_2000.dat, contendo: tempo (em seg), ano, mês, dia, hora e nível do mar (em m). Dados na região costeira de Santos (24°0,757’S 46°19,579’W), no arquivo adp_0m.txt, contendo: ano, mês, dia, hora, min, seg, nível do mar (em cm), temperatura no fundo (oC) e componentes EW e NS das correntes na superfície (em cm/s). </w:t>
      </w:r>
    </w:p>
    <w:p>
      <w:pPr>
        <w:pStyle w:val="DocSub"/>
        <w:bidi w:val="0"/>
        <w:spacing w:before="0" w:after="0"/>
        <w:jc w:val="start"/>
        <w:rPr/>
      </w:pPr>
      <w:r>
        <w:rPr/>
      </w:r>
    </w:p>
    <w:p>
      <w:pPr>
        <w:pStyle w:val="DocSub"/>
        <w:bidi w:val="0"/>
        <w:spacing w:before="0" w:after="0"/>
        <w:jc w:val="start"/>
        <w:rPr/>
      </w:pPr>
      <w:r>
        <w:rPr/>
      </w:r>
    </w:p>
    <w:p>
      <w:pPr>
        <w:pStyle w:val="QHead"/>
        <w:bidi w:val="0"/>
        <w:spacing w:before="0" w:after="0"/>
        <w:jc w:val="start"/>
        <w:rPr>
          <w:sz w:val="26"/>
          <w:szCs w:val="26"/>
          <w:u w:val="single"/>
        </w:rPr>
      </w:pPr>
      <w:r>
        <w:rPr>
          <w:sz w:val="26"/>
          <w:szCs w:val="26"/>
          <w:u w:val="single"/>
        </w:rPr>
        <w:t xml:space="preserve">Para a série temporal horária de nível do mar em Cananéia (SP, Brasil): </w:t>
      </w:r>
    </w:p>
    <w:p>
      <w:pPr>
        <w:pStyle w:val="QHead"/>
        <w:bidi w:val="0"/>
        <w:spacing w:before="0" w:after="0"/>
        <w:jc w:val="start"/>
        <w:rPr/>
      </w:pPr>
      <w:r>
        <w:rPr/>
      </w:r>
    </w:p>
    <w:p>
      <w:pPr>
        <w:pStyle w:val="QHead"/>
        <w:bidi w:val="0"/>
        <w:spacing w:before="0" w:after="0"/>
        <w:jc w:val="start"/>
        <w:rPr/>
      </w:pPr>
      <w:r>
        <w:rPr/>
        <w:t xml:space="preserve">1) </w:t>
      </w:r>
      <w:r>
        <w:rPr/>
        <w:t>Plotar a série temporal, efetuar a análise de maré e uma previsão de maré para o período de observações.</w:t>
      </w:r>
    </w:p>
    <w:p>
      <w:pPr>
        <w:pStyle w:val="QHead"/>
        <w:bidi w:val="0"/>
        <w:spacing w:before="0" w:after="0"/>
        <w:jc w:val="start"/>
        <w:rPr/>
      </w:pPr>
      <w:r>
        <w:rPr/>
      </w:r>
    </w:p>
    <w:p>
      <w:pPr>
        <w:pStyle w:val="Body"/>
        <w:bidi w:val="0"/>
        <w:spacing w:before="0" w:after="0"/>
        <w:jc w:val="start"/>
        <w:rPr/>
      </w:pPr>
      <w:r>
        <w:rPr/>
        <w:t>A série de nível do mar de Cananeia (25°01'S; 47°55'W), ano de 2020, contém 8784 dados horários. Após a subtração da média (2,1404 m), a análise harmônica com o pacote t_tide identificou 67 constituintes padrão e utilizou 8783 dos 8784 pontos. A previsão explica 78,5 % da variância original (var original = 0,14863 m²; var prevista = 0,11668 m²). A maré em Cananeia é de tipo misto com predomínio semidiurno, dominada pela componente M2 (A = 0,3596 m, g = 91,17°), seguida de S2 (0,2418 m), K2 (0,0699 m) e O1 (0,1039 m).</w:t>
      </w:r>
    </w:p>
    <w:p>
      <w:pPr>
        <w:pStyle w:val="Body"/>
        <w:bidi w:val="0"/>
        <w:spacing w:before="0" w:after="0"/>
        <w:jc w:val="start"/>
        <w:rPr/>
      </w:pPr>
      <w:r>
        <w:rPr/>
      </w:r>
    </w:p>
    <w:p>
      <w:pPr>
        <w:pStyle w:val="Caption"/>
        <w:bidi w:val="0"/>
        <w:spacing w:before="0" w:after="0"/>
        <w:rPr/>
      </w:pPr>
      <w:r>
        <w:drawing>
          <wp:anchor distT="71755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5760085" cy="3239770"/>
            <wp:effectExtent l="0" t="0" r="0" b="0"/>
            <wp:wrapTopAndBottom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Fig. 1.1 — Série temporal de nível do mar, Cananeia 2020 (média subtraída).</w:t>
      </w:r>
    </w:p>
    <w:p>
      <w:pPr>
        <w:pStyle w:val="Caption"/>
        <w:bidi w:val="0"/>
        <w:spacing w:before="0" w:after="0"/>
        <w:rPr/>
      </w:pPr>
      <w:r>
        <w:drawing>
          <wp:anchor distT="71755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5760085" cy="3239770"/>
            <wp:effectExtent l="0" t="0" r="0" b="0"/>
            <wp:wrapTopAndBottom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Fig. 1.2 — Nível medido (azul) e previsão de maré t_tide (vermelho), Cananeia 2020.</w:t>
      </w:r>
    </w:p>
    <w:p>
      <w:pPr>
        <w:pStyle w:val="Caption"/>
        <w:bidi w:val="0"/>
        <w:spacing w:before="0" w:after="0"/>
        <w:rPr/>
      </w:pPr>
      <w:r>
        <w:rPr/>
      </w:r>
    </w:p>
    <w:p>
      <w:pPr>
        <w:pStyle w:val="Caption"/>
        <w:bidi w:val="0"/>
        <w:spacing w:before="0" w:after="0"/>
        <w:rPr/>
      </w:pPr>
      <w:r>
        <w:drawing>
          <wp:anchor distT="71755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5760085" cy="3239770"/>
            <wp:effectExtent l="0" t="0" r="0" b="0"/>
            <wp:wrapTopAndBottom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Fig. 1.3 — Detalhe de janeiro de 2020: medido vs. previsão.</w:t>
      </w:r>
    </w:p>
    <w:p>
      <w:pPr>
        <w:pStyle w:val="QHead"/>
        <w:bidi w:val="0"/>
        <w:spacing w:before="0" w:after="0"/>
        <w:jc w:val="start"/>
        <w:rPr/>
      </w:pPr>
      <w:r>
        <w:rPr/>
      </w:r>
      <w:r>
        <w:br w:type="page"/>
      </w:r>
    </w:p>
    <w:p>
      <w:pPr>
        <w:pStyle w:val="QHead"/>
        <w:bidi w:val="0"/>
        <w:spacing w:before="0" w:after="0"/>
        <w:jc w:val="start"/>
        <w:rPr/>
      </w:pPr>
      <w:r>
        <w:rPr/>
        <w:t xml:space="preserve">2) Plotar a série residual (medições menos previsão) e aplicar as análises estatística e espectral (fft). Comentar os resultados obtidos. </w:t>
      </w:r>
    </w:p>
    <w:p>
      <w:pPr>
        <w:pStyle w:val="QHead"/>
        <w:bidi w:val="0"/>
        <w:spacing w:before="0" w:after="0"/>
        <w:jc w:val="start"/>
        <w:rPr/>
      </w:pPr>
      <w:r>
        <w:rPr/>
      </w:r>
    </w:p>
    <w:p>
      <w:pPr>
        <w:pStyle w:val="Body"/>
        <w:bidi w:val="0"/>
        <w:spacing w:before="0" w:after="0"/>
        <w:jc w:val="start"/>
        <w:rPr/>
      </w:pPr>
      <w:r>
        <w:rPr/>
        <w:t>O resíduo (medição − previsão) apresenta média praticamente nula, confirmando ausência de viés. O desvio padrão de 0,1783 m é comparável à amplitude de maré de componentes climáticas não-harmônicas. A assimetria positiva (0,66) e curtose elevada (4,10) indicam eventos de surgência por tempestade com magnitudes acima da média. O espectro de amplitude do resíduo revela energia em períodos de 4–15 dias, associados a sistemas frontais e anticiclones que transitam pela costa sudeste.</w:t>
      </w:r>
    </w:p>
    <w:p>
      <w:pPr>
        <w:pStyle w:val="Body"/>
        <w:bidi w:val="0"/>
        <w:spacing w:before="0" w:after="0"/>
        <w:jc w:val="start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818"/>
        <w:gridCol w:w="4820"/>
      </w:tblGrid>
      <w:tr>
        <w:trPr/>
        <w:tc>
          <w:tcPr>
            <w:tcW w:w="48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CHdr"/>
              <w:bidi w:val="0"/>
              <w:spacing w:before="0" w:after="0"/>
              <w:jc w:val="center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Estatística</w:t>
            </w:r>
          </w:p>
        </w:tc>
        <w:tc>
          <w:tcPr>
            <w:tcW w:w="48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CHdr"/>
              <w:bidi w:val="0"/>
              <w:spacing w:before="0" w:after="0"/>
              <w:jc w:val="center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Valor</w:t>
            </w:r>
          </w:p>
        </w:tc>
      </w:tr>
      <w:tr>
        <w:trPr/>
        <w:tc>
          <w:tcPr>
            <w:tcW w:w="48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Média</w:t>
            </w:r>
          </w:p>
        </w:tc>
        <w:tc>
          <w:tcPr>
            <w:tcW w:w="48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ind w:hanging="0" w:start="2268" w:end="113"/>
              <w:jc w:val="end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0,0003 m</w:t>
            </w:r>
          </w:p>
        </w:tc>
      </w:tr>
      <w:tr>
        <w:trPr/>
        <w:tc>
          <w:tcPr>
            <w:tcW w:w="48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Mediana</w:t>
            </w:r>
          </w:p>
        </w:tc>
        <w:tc>
          <w:tcPr>
            <w:tcW w:w="48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ind w:hanging="0" w:start="2268" w:end="113"/>
              <w:jc w:val="end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−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0,0170 m</w:t>
            </w:r>
          </w:p>
        </w:tc>
      </w:tr>
      <w:tr>
        <w:trPr/>
        <w:tc>
          <w:tcPr>
            <w:tcW w:w="48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Desvio padrão</w:t>
            </w:r>
          </w:p>
        </w:tc>
        <w:tc>
          <w:tcPr>
            <w:tcW w:w="48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ind w:hanging="0" w:start="2268" w:end="113"/>
              <w:jc w:val="end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0,1783 m</w:t>
            </w:r>
          </w:p>
        </w:tc>
      </w:tr>
      <w:tr>
        <w:trPr/>
        <w:tc>
          <w:tcPr>
            <w:tcW w:w="48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Mínimo</w:t>
            </w:r>
          </w:p>
        </w:tc>
        <w:tc>
          <w:tcPr>
            <w:tcW w:w="48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ind w:hanging="0" w:start="2268" w:end="113"/>
              <w:jc w:val="end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−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0,6019 m</w:t>
            </w:r>
          </w:p>
        </w:tc>
      </w:tr>
      <w:tr>
        <w:trPr/>
        <w:tc>
          <w:tcPr>
            <w:tcW w:w="48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Máximo</w:t>
            </w:r>
          </w:p>
        </w:tc>
        <w:tc>
          <w:tcPr>
            <w:tcW w:w="48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ind w:hanging="0" w:start="2268" w:end="113"/>
              <w:jc w:val="end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0,8614 m</w:t>
            </w:r>
          </w:p>
        </w:tc>
      </w:tr>
      <w:tr>
        <w:trPr/>
        <w:tc>
          <w:tcPr>
            <w:tcW w:w="48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Curtose</w:t>
            </w:r>
          </w:p>
        </w:tc>
        <w:tc>
          <w:tcPr>
            <w:tcW w:w="48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ind w:hanging="0" w:start="2268" w:end="113"/>
              <w:jc w:val="end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4,1</w:t>
            </w:r>
          </w:p>
        </w:tc>
      </w:tr>
      <w:tr>
        <w:trPr/>
        <w:tc>
          <w:tcPr>
            <w:tcW w:w="48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Assimetria</w:t>
            </w:r>
          </w:p>
        </w:tc>
        <w:tc>
          <w:tcPr>
            <w:tcW w:w="48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ind w:hanging="0" w:start="2268" w:end="113"/>
              <w:jc w:val="end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0,66</w:t>
            </w:r>
          </w:p>
        </w:tc>
      </w:tr>
    </w:tbl>
    <w:p>
      <w:pPr>
        <w:pStyle w:val="Body"/>
        <w:bidi w:val="0"/>
        <w:spacing w:before="0" w:after="0"/>
        <w:jc w:val="start"/>
        <w:rPr/>
      </w:pPr>
      <w:r>
        <w:rPr/>
      </w:r>
    </w:p>
    <w:p>
      <w:pPr>
        <w:pStyle w:val="Caption"/>
        <w:bidi w:val="0"/>
        <w:spacing w:before="0" w:after="0"/>
        <w:rPr/>
      </w:pPr>
      <w:r>
        <w:drawing>
          <wp:anchor distT="71755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5760085" cy="3239770"/>
            <wp:effectExtent l="0" t="0" r="0" b="0"/>
            <wp:wrapTopAndBottom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Fig. 2.1 — Nível do mar (azul) e série residual (vermelho), Cananeia 2020.</w:t>
      </w:r>
    </w:p>
    <w:p>
      <w:pPr>
        <w:pStyle w:val="Caption"/>
        <w:bidi w:val="0"/>
        <w:spacing w:before="0" w:after="0"/>
        <w:rPr/>
      </w:pPr>
      <w:r>
        <w:drawing>
          <wp:anchor distT="71755" distB="0" distL="0" distR="0" simplePos="0" relativeHeight="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5760085" cy="3239770"/>
            <wp:effectExtent l="0" t="0" r="0" b="0"/>
            <wp:wrapTopAndBottom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Fig. 2.2 — Espectro de amplitude (FFT, janela Hann, eixo 1–30 dias) do resíduo. Picos em ~10 e ~14 dias correspondem a sistemas sinóticos.</w:t>
      </w:r>
    </w:p>
    <w:p>
      <w:pPr>
        <w:pStyle w:val="Caption"/>
        <w:bidi w:val="0"/>
        <w:spacing w:before="0" w:after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QHead"/>
        <w:bidi w:val="0"/>
        <w:spacing w:before="0" w:after="0"/>
        <w:jc w:val="start"/>
        <w:rPr/>
      </w:pPr>
      <w:r>
        <w:rPr/>
        <w:t xml:space="preserve">3) Plotar a série horária de nível médio do mar, calculada através da aplicação do filtro de médias móveis S24S25S25 (onde Sn é a média de n dados) e aplicar as análises estatística e espectral (fft). Comentar os resultados obtidos. </w:t>
      </w:r>
    </w:p>
    <w:p>
      <w:pPr>
        <w:pStyle w:val="QHead"/>
        <w:bidi w:val="0"/>
        <w:spacing w:before="0" w:after="0"/>
        <w:jc w:val="start"/>
        <w:rPr/>
      </w:pPr>
      <w:r>
        <w:rPr/>
      </w:r>
    </w:p>
    <w:p>
      <w:pPr>
        <w:pStyle w:val="Body"/>
        <w:bidi w:val="0"/>
        <w:spacing w:before="0" w:after="0"/>
        <w:jc w:val="start"/>
        <w:rPr/>
      </w:pPr>
      <w:r>
        <w:rPr/>
        <w:t>O filtro de médias móveis S24S25S25 elimina as componentes de maré (períodos ≤ 24 h) e revela a variabilidade de baixa frequência. O nível médio horário tem DP = 0,1709 m (mínimo −0,41 m; máximo +0,49 m). Para a análise espectral, computou-se a média diária (366 pontos) antes da FFT, reduzindo o número de bins e concentrando a energia nos períodos de interesse. O espectro mostra dominância de variabilidade sinótica (5–20 dias), associada a frentes frias e sistemas de alta pressão que afetam a costa sudeste. O sinal anual (SA = 0,09 m da análise harmônica) não aparece como pico distinto no FFT por conter apenas 1 ciclo completo na série — limitação inerente ao método para registros de 1 ano.</w:t>
      </w:r>
    </w:p>
    <w:p>
      <w:pPr>
        <w:pStyle w:val="Body"/>
        <w:bidi w:val="0"/>
        <w:spacing w:before="0" w:after="0"/>
        <w:jc w:val="start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818"/>
        <w:gridCol w:w="4820"/>
      </w:tblGrid>
      <w:tr>
        <w:trPr/>
        <w:tc>
          <w:tcPr>
            <w:tcW w:w="48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CHdr"/>
              <w:bidi w:val="0"/>
              <w:spacing w:before="0" w:after="0"/>
              <w:jc w:val="center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Estatística</w:t>
            </w:r>
          </w:p>
        </w:tc>
        <w:tc>
          <w:tcPr>
            <w:tcW w:w="48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CHdr"/>
              <w:bidi w:val="0"/>
              <w:spacing w:before="0" w:after="0"/>
              <w:jc w:val="center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Valor</w:t>
            </w:r>
          </w:p>
        </w:tc>
      </w:tr>
      <w:tr>
        <w:trPr/>
        <w:tc>
          <w:tcPr>
            <w:tcW w:w="48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Média</w:t>
            </w:r>
          </w:p>
        </w:tc>
        <w:tc>
          <w:tcPr>
            <w:tcW w:w="48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ind w:end="113"/>
              <w:jc w:val="end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0,0002 m</w:t>
            </w:r>
          </w:p>
        </w:tc>
      </w:tr>
      <w:tr>
        <w:trPr/>
        <w:tc>
          <w:tcPr>
            <w:tcW w:w="48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Desvio padrão</w:t>
            </w:r>
          </w:p>
        </w:tc>
        <w:tc>
          <w:tcPr>
            <w:tcW w:w="48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ind w:end="113"/>
              <w:jc w:val="end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0,1709 m</w:t>
            </w:r>
          </w:p>
        </w:tc>
      </w:tr>
      <w:tr>
        <w:trPr/>
        <w:tc>
          <w:tcPr>
            <w:tcW w:w="48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Mínimo</w:t>
            </w:r>
          </w:p>
        </w:tc>
        <w:tc>
          <w:tcPr>
            <w:tcW w:w="48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ind w:end="113"/>
              <w:jc w:val="end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−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0,4064 m</w:t>
            </w:r>
          </w:p>
        </w:tc>
      </w:tr>
      <w:tr>
        <w:trPr/>
        <w:tc>
          <w:tcPr>
            <w:tcW w:w="48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Máximo</w:t>
            </w:r>
          </w:p>
        </w:tc>
        <w:tc>
          <w:tcPr>
            <w:tcW w:w="48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ind w:end="113"/>
              <w:jc w:val="end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0,4937 m</w:t>
            </w:r>
          </w:p>
        </w:tc>
      </w:tr>
      <w:tr>
        <w:trPr/>
        <w:tc>
          <w:tcPr>
            <w:tcW w:w="48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Curtose</w:t>
            </w:r>
          </w:p>
        </w:tc>
        <w:tc>
          <w:tcPr>
            <w:tcW w:w="48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ind w:end="113"/>
              <w:jc w:val="end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3,1516</w:t>
            </w:r>
          </w:p>
        </w:tc>
      </w:tr>
      <w:tr>
        <w:trPr/>
        <w:tc>
          <w:tcPr>
            <w:tcW w:w="48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Assimetria</w:t>
            </w:r>
          </w:p>
        </w:tc>
        <w:tc>
          <w:tcPr>
            <w:tcW w:w="48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ind w:end="113"/>
              <w:jc w:val="end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0,3760</w:t>
            </w:r>
          </w:p>
        </w:tc>
      </w:tr>
    </w:tbl>
    <w:p>
      <w:pPr>
        <w:pStyle w:val="Caption"/>
        <w:bidi w:val="0"/>
        <w:spacing w:before="0" w:after="0"/>
        <w:rPr/>
      </w:pPr>
      <w:r>
        <w:drawing>
          <wp:anchor distT="71755" distB="0" distL="0" distR="0" simplePos="0" relativeHeight="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5760085" cy="3239770"/>
            <wp:effectExtent l="0" t="0" r="0" b="0"/>
            <wp:wrapTopAndBottom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Fig. 3.1 — Nível do mar (azul) e nível médio S24S25S25 (vermelho), Cananeia 2020.</w:t>
      </w:r>
    </w:p>
    <w:p>
      <w:pPr>
        <w:pStyle w:val="Caption"/>
        <w:bidi w:val="0"/>
        <w:spacing w:before="0" w:after="0"/>
        <w:rPr/>
      </w:pPr>
      <w:r>
        <w:rPr/>
      </w:r>
    </w:p>
    <w:p>
      <w:pPr>
        <w:pStyle w:val="Caption"/>
        <w:bidi w:val="0"/>
        <w:spacing w:before="0" w:after="0"/>
        <w:rPr/>
      </w:pPr>
      <w:r>
        <w:drawing>
          <wp:anchor distT="71755" distB="0" distL="0" distR="0" simplePos="0" relativeHeight="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5760085" cy="3239770"/>
            <wp:effectExtent l="0" t="0" r="0" b="0"/>
            <wp:wrapTopAndBottom/>
            <wp:docPr id="7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Fig. 3.2 — Espectro (FFT de média diária, 5–366 dias) do nível médio do mar. Pico sinótico em T ~ 5–20 dias.</w:t>
      </w:r>
    </w:p>
    <w:p>
      <w:pPr>
        <w:pStyle w:val="QHead"/>
        <w:bidi w:val="0"/>
        <w:spacing w:before="0" w:after="0"/>
        <w:jc w:val="start"/>
        <w:rPr/>
      </w:pPr>
      <w:r>
        <w:rPr/>
      </w:r>
    </w:p>
    <w:p>
      <w:pPr>
        <w:pStyle w:val="QHead"/>
        <w:bidi w:val="0"/>
        <w:spacing w:before="0" w:after="0"/>
        <w:jc w:val="start"/>
        <w:rPr/>
      </w:pPr>
      <w:r>
        <w:rPr/>
      </w:r>
      <w:r>
        <w:br w:type="page"/>
      </w:r>
    </w:p>
    <w:p>
      <w:pPr>
        <w:pStyle w:val="QHead"/>
        <w:bidi w:val="0"/>
        <w:spacing w:before="0" w:after="0"/>
        <w:jc w:val="start"/>
        <w:rPr/>
      </w:pPr>
      <w:r>
        <w:rPr/>
        <w:t xml:space="preserve">4) </w:t>
      </w:r>
      <w:r>
        <w:rPr/>
        <w:t xml:space="preserve">Calcular as probabilidades de excedência e não excedência, bem como os períodos de retorno (de nível do mar, maré e nível médio do mar). </w:t>
      </w:r>
    </w:p>
    <w:p>
      <w:pPr>
        <w:pStyle w:val="QHead"/>
        <w:bidi w:val="0"/>
        <w:spacing w:before="0" w:after="0"/>
        <w:jc w:val="start"/>
        <w:rPr/>
      </w:pPr>
      <w:r>
        <w:rPr/>
      </w:r>
    </w:p>
    <w:p>
      <w:pPr>
        <w:pStyle w:val="Body"/>
        <w:bidi w:val="0"/>
        <w:spacing w:before="0" w:after="0"/>
        <w:jc w:val="start"/>
        <w:rPr/>
      </w:pPr>
      <w:r>
        <w:rPr/>
        <w:t>Distribuições normais foram ajustadas ao nível do mar total, à maré prevista e ao nível médio do mar. Os níveis de retorno mostram que a variabilidade meteorológica (nível médio) representa ~43 % do nível de retorno de 1 ano, evidenciando a importância da maré meteorológica nos estudos de eventos extremos em Cananeia. Os valores abaixo são relativos à média de cada série.</w:t>
      </w:r>
    </w:p>
    <w:p>
      <w:pPr>
        <w:pStyle w:val="Body"/>
        <w:bidi w:val="0"/>
        <w:spacing w:before="0" w:after="0"/>
        <w:jc w:val="start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606"/>
        <w:gridCol w:w="1606"/>
        <w:gridCol w:w="1606"/>
        <w:gridCol w:w="1607"/>
        <w:gridCol w:w="1606"/>
        <w:gridCol w:w="1607"/>
      </w:tblGrid>
      <w:tr>
        <w:trPr/>
        <w:tc>
          <w:tcPr>
            <w:tcW w:w="16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CHdr"/>
              <w:bidi w:val="0"/>
              <w:spacing w:before="0" w:after="0"/>
              <w:jc w:val="center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Série</w:t>
            </w:r>
          </w:p>
        </w:tc>
        <w:tc>
          <w:tcPr>
            <w:tcW w:w="16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CHdr"/>
              <w:bidi w:val="0"/>
              <w:spacing w:before="0" w:after="0"/>
              <w:jc w:val="center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T = 0,5 a</w:t>
            </w:r>
          </w:p>
        </w:tc>
        <w:tc>
          <w:tcPr>
            <w:tcW w:w="16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CHdr"/>
              <w:bidi w:val="0"/>
              <w:spacing w:before="0" w:after="0"/>
              <w:jc w:val="center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T = 1 a</w:t>
            </w:r>
          </w:p>
        </w:tc>
        <w:tc>
          <w:tcPr>
            <w:tcW w:w="16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CHdr"/>
              <w:bidi w:val="0"/>
              <w:spacing w:before="0" w:after="0"/>
              <w:jc w:val="center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T = 2 a</w:t>
            </w:r>
          </w:p>
        </w:tc>
        <w:tc>
          <w:tcPr>
            <w:tcW w:w="16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CHdr"/>
              <w:bidi w:val="0"/>
              <w:spacing w:before="0" w:after="0"/>
              <w:jc w:val="center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T = 5 a</w:t>
            </w:r>
          </w:p>
        </w:tc>
        <w:tc>
          <w:tcPr>
            <w:tcW w:w="16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CHdr"/>
              <w:bidi w:val="0"/>
              <w:spacing w:before="0" w:after="0"/>
              <w:jc w:val="center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T = 10 a</w:t>
            </w:r>
          </w:p>
        </w:tc>
      </w:tr>
      <w:tr>
        <w:trPr/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Nível do mar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1,35 m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1,42 m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1,48 m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1,58 m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1,64 m</w:t>
            </w:r>
          </w:p>
        </w:tc>
      </w:tr>
      <w:tr>
        <w:trPr/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Maré (previsão)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1,20 m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1,26 m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1,31 m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1,40 m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1,46 m</w:t>
            </w:r>
          </w:p>
        </w:tc>
      </w:tr>
      <w:tr>
        <w:trPr>
          <w:trHeight w:val="95" w:hRule="atLeast"/>
        </w:trPr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Nível médio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0,60 m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0,63 m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0,66 m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0,70 m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0,73 m</w:t>
            </w:r>
          </w:p>
        </w:tc>
      </w:tr>
    </w:tbl>
    <w:p>
      <w:pPr>
        <w:pStyle w:val="Body"/>
        <w:bidi w:val="0"/>
        <w:spacing w:before="0" w:after="0"/>
        <w:jc w:val="start"/>
        <w:rPr/>
      </w:pPr>
      <w:r>
        <w:rPr/>
      </w:r>
    </w:p>
    <w:p>
      <w:pPr>
        <w:pStyle w:val="Caption"/>
        <w:bidi w:val="0"/>
        <w:spacing w:before="0" w:after="0"/>
        <w:rPr/>
      </w:pPr>
      <w:r>
        <w:drawing>
          <wp:anchor distT="71755" distB="0" distL="0" distR="0" simplePos="0" relativeHeight="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5760085" cy="2879725"/>
            <wp:effectExtent l="0" t="0" r="0" b="0"/>
            <wp:wrapTopAndBottom/>
            <wp:docPr id="8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879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Fig. 4.1 — Probabilidade de excedência.</w:t>
      </w:r>
    </w:p>
    <w:p>
      <w:pPr>
        <w:pStyle w:val="Caption"/>
        <w:bidi w:val="0"/>
        <w:spacing w:before="0" w:after="0"/>
        <w:rPr/>
      </w:pPr>
      <w:r>
        <w:drawing>
          <wp:anchor distT="71755" distB="0" distL="0" distR="0" simplePos="0" relativeHeight="1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5760085" cy="2879725"/>
            <wp:effectExtent l="0" t="0" r="0" b="0"/>
            <wp:wrapTopAndBottom/>
            <wp:docPr id="9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879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Fig. 4.2 — Probabilidade de não excedência.</w:t>
      </w:r>
    </w:p>
    <w:p>
      <w:pPr>
        <w:pStyle w:val="Caption"/>
        <w:bidi w:val="0"/>
        <w:spacing w:before="0" w:after="0"/>
        <w:rPr/>
      </w:pPr>
      <w:r>
        <w:drawing>
          <wp:anchor distT="71755" distB="0" distL="0" distR="0" simplePos="0" relativeHeight="1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5760085" cy="2879725"/>
            <wp:effectExtent l="0" t="0" r="0" b="0"/>
            <wp:wrapTopAndBottom/>
            <wp:docPr id="10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879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Fig. 4.3 — Períodos de retorno.</w:t>
      </w:r>
    </w:p>
    <w:p>
      <w:pPr>
        <w:pStyle w:val="Caption"/>
        <w:bidi w:val="0"/>
        <w:spacing w:before="0" w:after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Caption"/>
        <w:bidi w:val="0"/>
        <w:spacing w:before="0" w:after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QHead"/>
        <w:bidi w:val="0"/>
        <w:spacing w:before="0" w:after="0"/>
        <w:jc w:val="start"/>
        <w:rPr/>
      </w:pPr>
      <w:r>
        <w:rPr>
          <w:sz w:val="26"/>
          <w:szCs w:val="26"/>
          <w:u w:val="single"/>
        </w:rPr>
        <w:t>A seguir, comparar as séries de nível do mar de Cananéia e Ubatuba (SP, Brasil):</w:t>
      </w:r>
      <w:r>
        <w:rPr/>
        <w:t xml:space="preserve"> </w:t>
      </w:r>
    </w:p>
    <w:p>
      <w:pPr>
        <w:pStyle w:val="QHead"/>
        <w:bidi w:val="0"/>
        <w:spacing w:before="0" w:after="0"/>
        <w:jc w:val="start"/>
        <w:rPr/>
      </w:pPr>
      <w:r>
        <w:rPr/>
      </w:r>
    </w:p>
    <w:p>
      <w:pPr>
        <w:pStyle w:val="QHead"/>
        <w:bidi w:val="0"/>
        <w:spacing w:before="0" w:after="0"/>
        <w:jc w:val="start"/>
        <w:rPr/>
      </w:pPr>
      <w:r>
        <w:rPr/>
        <w:t xml:space="preserve">5) </w:t>
      </w:r>
      <w:r>
        <w:rPr/>
        <w:t xml:space="preserve">Calcular as amplificações ou atenuações, e os atrasos no tempo, das componentes de maré M2, S2, K1 e O1, entre Cananéia e Ubatuba. </w:t>
      </w:r>
    </w:p>
    <w:p>
      <w:pPr>
        <w:pStyle w:val="QHead"/>
        <w:bidi w:val="0"/>
        <w:spacing w:before="0" w:after="0"/>
        <w:jc w:val="start"/>
        <w:rPr/>
      </w:pPr>
      <w:r>
        <w:rPr/>
      </w:r>
    </w:p>
    <w:p>
      <w:pPr>
        <w:pStyle w:val="Body"/>
        <w:bidi w:val="0"/>
        <w:spacing w:before="0" w:after="0"/>
        <w:jc w:val="start"/>
        <w:rPr/>
      </w:pPr>
      <w:r>
        <w:rPr/>
        <w:t>A análise harmônica foi realizada também para Ubatuba (23°30'S; 45°07'W), que explica 73,2 % da variância. A razão hrel = H_Can/H_Uba &gt; 1 para M2 e S2 indica que Cananeia amplifica as componentes semidiurnas em relação a Ubatuba — possivelmente devido à geometria do estuário/baía de Cananeia. Para as componentes diurnas (O1, K1), as amplitudes são ligeiramente menores em Cananeia. As defasagens positivas (Cananeia adiantada) indicam que a onda de maré percorre a costa no sentido NE → SW, atingindo Cananeia antes de Ubatuba.</w:t>
      </w:r>
    </w:p>
    <w:p>
      <w:pPr>
        <w:pStyle w:val="Body"/>
        <w:bidi w:val="0"/>
        <w:spacing w:before="0" w:after="0"/>
        <w:jc w:val="start"/>
        <w:rPr/>
      </w:pPr>
      <w:r>
        <w:rPr/>
      </w:r>
    </w:p>
    <w:tbl>
      <w:tblPr>
        <w:tblW w:w="9636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188"/>
        <w:gridCol w:w="1408"/>
        <w:gridCol w:w="1408"/>
        <w:gridCol w:w="1408"/>
        <w:gridCol w:w="1408"/>
        <w:gridCol w:w="1408"/>
        <w:gridCol w:w="1408"/>
      </w:tblGrid>
      <w:tr>
        <w:trPr/>
        <w:tc>
          <w:tcPr>
            <w:tcW w:w="11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CHdr"/>
              <w:bidi w:val="0"/>
              <w:spacing w:before="0" w:after="0"/>
              <w:jc w:val="center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Comp.</w:t>
            </w:r>
          </w:p>
        </w:tc>
        <w:tc>
          <w:tcPr>
            <w:tcW w:w="14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CHdr"/>
              <w:bidi w:val="0"/>
              <w:spacing w:before="0" w:after="0"/>
              <w:jc w:val="center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H_Can (m)</w:t>
            </w:r>
          </w:p>
        </w:tc>
        <w:tc>
          <w:tcPr>
            <w:tcW w:w="14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CHdr"/>
              <w:bidi w:val="0"/>
              <w:spacing w:before="0" w:after="0"/>
              <w:jc w:val="center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g_Can (°)</w:t>
            </w:r>
          </w:p>
        </w:tc>
        <w:tc>
          <w:tcPr>
            <w:tcW w:w="14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CHdr"/>
              <w:bidi w:val="0"/>
              <w:spacing w:before="0" w:after="0"/>
              <w:jc w:val="center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H_Uba (m)</w:t>
            </w:r>
          </w:p>
        </w:tc>
        <w:tc>
          <w:tcPr>
            <w:tcW w:w="14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CHdr"/>
              <w:bidi w:val="0"/>
              <w:spacing w:before="0" w:after="0"/>
              <w:jc w:val="center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g_Uba (°)</w:t>
            </w:r>
          </w:p>
        </w:tc>
        <w:tc>
          <w:tcPr>
            <w:tcW w:w="14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CHdr"/>
              <w:bidi w:val="0"/>
              <w:spacing w:before="0" w:after="0"/>
              <w:jc w:val="center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hrel (Can/Uba)</w:t>
            </w:r>
          </w:p>
        </w:tc>
        <w:tc>
          <w:tcPr>
            <w:tcW w:w="14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CHdr"/>
              <w:bidi w:val="0"/>
              <w:spacing w:before="0" w:after="0"/>
              <w:jc w:val="center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Defas. (min)</w:t>
            </w:r>
          </w:p>
        </w:tc>
      </w:tr>
      <w:tr>
        <w:trPr/>
        <w:tc>
          <w:tcPr>
            <w:tcW w:w="118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O1</w:t>
            </w:r>
          </w:p>
        </w:tc>
        <w:tc>
          <w:tcPr>
            <w:tcW w:w="14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0,1039</w:t>
            </w:r>
          </w:p>
        </w:tc>
        <w:tc>
          <w:tcPr>
            <w:tcW w:w="14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83,22</w:t>
            </w:r>
          </w:p>
        </w:tc>
        <w:tc>
          <w:tcPr>
            <w:tcW w:w="14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0,1071</w:t>
            </w:r>
          </w:p>
        </w:tc>
        <w:tc>
          <w:tcPr>
            <w:tcW w:w="14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80,71</w:t>
            </w:r>
          </w:p>
        </w:tc>
        <w:tc>
          <w:tcPr>
            <w:tcW w:w="14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0,969</w:t>
            </w:r>
          </w:p>
        </w:tc>
        <w:tc>
          <w:tcPr>
            <w:tcW w:w="140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10,8</w:t>
            </w:r>
          </w:p>
        </w:tc>
      </w:tr>
      <w:tr>
        <w:trPr/>
        <w:tc>
          <w:tcPr>
            <w:tcW w:w="118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K1</w:t>
            </w:r>
          </w:p>
        </w:tc>
        <w:tc>
          <w:tcPr>
            <w:tcW w:w="14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0,0575</w:t>
            </w:r>
          </w:p>
        </w:tc>
        <w:tc>
          <w:tcPr>
            <w:tcW w:w="14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140,79</w:t>
            </w:r>
          </w:p>
        </w:tc>
        <w:tc>
          <w:tcPr>
            <w:tcW w:w="14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0,0605</w:t>
            </w:r>
          </w:p>
        </w:tc>
        <w:tc>
          <w:tcPr>
            <w:tcW w:w="14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140,02</w:t>
            </w:r>
          </w:p>
        </w:tc>
        <w:tc>
          <w:tcPr>
            <w:tcW w:w="14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0,951</w:t>
            </w:r>
          </w:p>
        </w:tc>
        <w:tc>
          <w:tcPr>
            <w:tcW w:w="140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3,1</w:t>
            </w:r>
          </w:p>
        </w:tc>
      </w:tr>
      <w:tr>
        <w:trPr/>
        <w:tc>
          <w:tcPr>
            <w:tcW w:w="118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M2</w:t>
            </w:r>
          </w:p>
        </w:tc>
        <w:tc>
          <w:tcPr>
            <w:tcW w:w="14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0,3596</w:t>
            </w:r>
          </w:p>
        </w:tc>
        <w:tc>
          <w:tcPr>
            <w:tcW w:w="14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91,17</w:t>
            </w:r>
          </w:p>
        </w:tc>
        <w:tc>
          <w:tcPr>
            <w:tcW w:w="14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0,3101</w:t>
            </w:r>
          </w:p>
        </w:tc>
        <w:tc>
          <w:tcPr>
            <w:tcW w:w="14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77,84</w:t>
            </w:r>
          </w:p>
        </w:tc>
        <w:tc>
          <w:tcPr>
            <w:tcW w:w="14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1,160</w:t>
            </w:r>
          </w:p>
        </w:tc>
        <w:tc>
          <w:tcPr>
            <w:tcW w:w="140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27,6</w:t>
            </w:r>
          </w:p>
        </w:tc>
      </w:tr>
      <w:tr>
        <w:trPr/>
        <w:tc>
          <w:tcPr>
            <w:tcW w:w="118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S2</w:t>
            </w:r>
          </w:p>
        </w:tc>
        <w:tc>
          <w:tcPr>
            <w:tcW w:w="14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0,2418</w:t>
            </w:r>
          </w:p>
        </w:tc>
        <w:tc>
          <w:tcPr>
            <w:tcW w:w="14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97,81</w:t>
            </w:r>
          </w:p>
        </w:tc>
        <w:tc>
          <w:tcPr>
            <w:tcW w:w="14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0,1853</w:t>
            </w:r>
          </w:p>
        </w:tc>
        <w:tc>
          <w:tcPr>
            <w:tcW w:w="14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83,87</w:t>
            </w:r>
          </w:p>
        </w:tc>
        <w:tc>
          <w:tcPr>
            <w:tcW w:w="14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1,305</w:t>
            </w:r>
          </w:p>
        </w:tc>
        <w:tc>
          <w:tcPr>
            <w:tcW w:w="140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27,9</w:t>
            </w:r>
          </w:p>
        </w:tc>
      </w:tr>
    </w:tbl>
    <w:p>
      <w:pPr>
        <w:pStyle w:val="Body"/>
        <w:bidi w:val="0"/>
        <w:spacing w:before="0" w:after="0"/>
        <w:jc w:val="start"/>
        <w:rPr/>
      </w:pPr>
      <w:r>
        <w:rPr/>
      </w:r>
    </w:p>
    <w:p>
      <w:pPr>
        <w:pStyle w:val="Caption"/>
        <w:bidi w:val="0"/>
        <w:spacing w:before="0" w:after="0"/>
        <w:rPr/>
      </w:pPr>
      <w:r>
        <w:drawing>
          <wp:anchor distT="71755" distB="0" distL="0" distR="0" simplePos="0" relativeHeight="1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5760085" cy="2879725"/>
            <wp:effectExtent l="0" t="0" r="0" b="0"/>
            <wp:wrapTopAndBottom/>
            <wp:docPr id="11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879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Fig. 5.1 — Componente O1: Cananeia (azul) vs. Ubatuba (vermelho). hrel = 0,969; defas. = 10,8 min.</w:t>
      </w:r>
    </w:p>
    <w:p>
      <w:pPr>
        <w:pStyle w:val="Caption"/>
        <w:bidi w:val="0"/>
        <w:spacing w:before="0" w:after="0"/>
        <w:rPr/>
      </w:pPr>
      <w:r>
        <w:rPr/>
      </w:r>
    </w:p>
    <w:p>
      <w:pPr>
        <w:pStyle w:val="Caption"/>
        <w:bidi w:val="0"/>
        <w:spacing w:before="0" w:after="0"/>
        <w:rPr/>
      </w:pPr>
      <w:r>
        <w:drawing>
          <wp:anchor distT="71755" distB="0" distL="0" distR="0" simplePos="0" relativeHeight="1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5760085" cy="2879725"/>
            <wp:effectExtent l="0" t="0" r="0" b="0"/>
            <wp:wrapTopAndBottom/>
            <wp:docPr id="12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879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Fig. 5.2 — Componente K1: Cananeia (azul) vs. Ubatuba (vermelho). hrel = 0,951; defas. = 3,1 min.</w:t>
      </w:r>
    </w:p>
    <w:p>
      <w:pPr>
        <w:pStyle w:val="Caption"/>
        <w:bidi w:val="0"/>
        <w:spacing w:before="0" w:after="0"/>
        <w:rPr/>
      </w:pPr>
      <w:r>
        <w:drawing>
          <wp:anchor distT="71755" distB="0" distL="0" distR="0" simplePos="0" relativeHeight="1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5760085" cy="2879725"/>
            <wp:effectExtent l="0" t="0" r="0" b="0"/>
            <wp:wrapTopAndBottom/>
            <wp:docPr id="13" name="Image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879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Fig. 5.3 — Componente M2: Cananeia (azul) vs. Ubatuba (vermelho). hrel = 1,160; defas. = 27,6 min.</w:t>
      </w:r>
    </w:p>
    <w:p>
      <w:pPr>
        <w:pStyle w:val="Caption"/>
        <w:bidi w:val="0"/>
        <w:spacing w:before="0" w:after="0"/>
        <w:rPr/>
      </w:pPr>
      <w:r>
        <w:rPr/>
      </w:r>
    </w:p>
    <w:p>
      <w:pPr>
        <w:pStyle w:val="Caption"/>
        <w:bidi w:val="0"/>
        <w:spacing w:before="0" w:after="0"/>
        <w:rPr/>
      </w:pPr>
      <w:r>
        <w:drawing>
          <wp:anchor distT="71755" distB="0" distL="0" distR="0" simplePos="0" relativeHeight="1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5760085" cy="2879725"/>
            <wp:effectExtent l="0" t="0" r="0" b="0"/>
            <wp:wrapTopAndBottom/>
            <wp:docPr id="14" name="Image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879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Fig. 5.4 — Componente S2: Cananeia (azul) vs. Ubatuba (vermelho). hrel = 1,305; defas. = 27,9 min.</w:t>
      </w:r>
    </w:p>
    <w:p>
      <w:pPr>
        <w:pStyle w:val="Caption"/>
        <w:bidi w:val="0"/>
        <w:spacing w:before="0" w:after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QHead"/>
        <w:bidi w:val="0"/>
        <w:spacing w:before="0" w:after="0"/>
        <w:jc w:val="start"/>
        <w:rPr/>
      </w:pPr>
      <w:r>
        <w:rPr/>
      </w:r>
      <w:r>
        <w:br w:type="page"/>
      </w:r>
    </w:p>
    <w:p>
      <w:pPr>
        <w:pStyle w:val="QHead"/>
        <w:bidi w:val="0"/>
        <w:spacing w:before="0" w:after="0"/>
        <w:jc w:val="start"/>
        <w:rPr/>
      </w:pPr>
      <w:r>
        <w:rPr/>
        <w:t xml:space="preserve">6) </w:t>
      </w:r>
      <w:r>
        <w:rPr/>
        <w:t xml:space="preserve">Comparar as séries de nível médio do mar de Cananéia e Ubatuba, através de plotagens e cálculo de parâmetros comparativos e correlações cruzadas (com defasagens). Comentar os resultados obtidos. </w:t>
      </w:r>
    </w:p>
    <w:p>
      <w:pPr>
        <w:pStyle w:val="QHead"/>
        <w:bidi w:val="0"/>
        <w:spacing w:before="0" w:after="0"/>
        <w:jc w:val="start"/>
        <w:rPr/>
      </w:pPr>
      <w:r>
        <w:rPr/>
      </w:r>
    </w:p>
    <w:p>
      <w:pPr>
        <w:pStyle w:val="Body"/>
        <w:bidi w:val="0"/>
        <w:spacing w:before="0" w:after="0"/>
        <w:jc w:val="start"/>
        <w:rPr/>
      </w:pPr>
      <w:r>
        <w:rPr/>
        <w:t>As séries de nível médio (filtro S24S25S25) de Cananeia e Ubatuba foram comparadas por plotagem sobrepostas, diagrama de espalhamento e correlação cruzada. O skill score R² = 0,549 indica correlação moderada entre as duas estações (~250 km de separação), esperada para sinais de maré meteorológica que têm coerência regional mas também componentes locais. O viés nulo confirma a adequação da remoção das médias. O RMSE de 0,106 m reflete diferenças na resposta local ao forçamento meteorológico. A correlação cruzada apresenta pico no lag = −5 h, indicando que Ubatuba lidera Cananeia em ~5 h no sinal de nível médio — sinal meteorológico propagando-se para SW.</w:t>
      </w:r>
    </w:p>
    <w:p>
      <w:pPr>
        <w:pStyle w:val="Body"/>
        <w:bidi w:val="0"/>
        <w:spacing w:before="0" w:after="0"/>
        <w:jc w:val="start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818"/>
        <w:gridCol w:w="4820"/>
      </w:tblGrid>
      <w:tr>
        <w:trPr/>
        <w:tc>
          <w:tcPr>
            <w:tcW w:w="48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CHdr"/>
              <w:bidi w:val="0"/>
              <w:spacing w:before="0" w:after="0"/>
              <w:jc w:val="center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Parâmetro</w:t>
            </w:r>
          </w:p>
        </w:tc>
        <w:tc>
          <w:tcPr>
            <w:tcW w:w="48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CHdr"/>
              <w:bidi w:val="0"/>
              <w:spacing w:before="0" w:after="0"/>
              <w:jc w:val="center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Valor</w:t>
            </w:r>
          </w:p>
        </w:tc>
      </w:tr>
      <w:tr>
        <w:trPr/>
        <w:tc>
          <w:tcPr>
            <w:tcW w:w="48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R² (skill score)</w:t>
            </w:r>
          </w:p>
        </w:tc>
        <w:tc>
          <w:tcPr>
            <w:tcW w:w="48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ind w:end="113"/>
              <w:jc w:val="end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0,549</w:t>
            </w:r>
          </w:p>
        </w:tc>
      </w:tr>
      <w:tr>
        <w:trPr/>
        <w:tc>
          <w:tcPr>
            <w:tcW w:w="48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Viés (Uba − Can)</w:t>
            </w:r>
          </w:p>
        </w:tc>
        <w:tc>
          <w:tcPr>
            <w:tcW w:w="48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ind w:end="113"/>
              <w:jc w:val="end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0,000 m</w:t>
            </w:r>
          </w:p>
        </w:tc>
      </w:tr>
      <w:tr>
        <w:trPr/>
        <w:tc>
          <w:tcPr>
            <w:tcW w:w="48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RMSE</w:t>
            </w:r>
          </w:p>
        </w:tc>
        <w:tc>
          <w:tcPr>
            <w:tcW w:w="48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ind w:end="113"/>
              <w:jc w:val="end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0,106 m</w:t>
            </w:r>
          </w:p>
        </w:tc>
      </w:tr>
    </w:tbl>
    <w:p>
      <w:pPr>
        <w:pStyle w:val="Body"/>
        <w:bidi w:val="0"/>
        <w:spacing w:before="0" w:after="0"/>
        <w:jc w:val="start"/>
        <w:rPr/>
      </w:pPr>
      <w:r>
        <w:rPr/>
      </w:r>
    </w:p>
    <w:p>
      <w:pPr>
        <w:pStyle w:val="Caption"/>
        <w:bidi w:val="0"/>
        <w:spacing w:before="0" w:after="0"/>
        <w:rPr/>
      </w:pPr>
      <w:r>
        <w:drawing>
          <wp:anchor distT="71755" distB="0" distL="0" distR="0" simplePos="0" relativeHeight="1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5760085" cy="3239770"/>
            <wp:effectExtent l="0" t="0" r="0" b="0"/>
            <wp:wrapTopAndBottom/>
            <wp:docPr id="15" name="Image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Fig. 6.1 — Nível médio do mar: Cananeia (azul) vs. Ubatuba (vermelho), 2020.</w:t>
      </w:r>
    </w:p>
    <w:p>
      <w:pPr>
        <w:pStyle w:val="Caption"/>
        <w:bidi w:val="0"/>
        <w:spacing w:before="0" w:after="0"/>
        <w:rPr/>
      </w:pPr>
      <w:r>
        <w:drawing>
          <wp:anchor distT="71755" distB="0" distL="0" distR="0" simplePos="0" relativeHeight="1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5760085" cy="3959860"/>
            <wp:effectExtent l="0" t="0" r="0" b="0"/>
            <wp:wrapTopAndBottom/>
            <wp:docPr id="16" name="Image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9598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Fig. 6.2 — Diagrama de espalhamento do nível médio (linha diagonal = 1:1).</w:t>
      </w:r>
    </w:p>
    <w:p>
      <w:pPr>
        <w:pStyle w:val="Caption"/>
        <w:bidi w:val="0"/>
        <w:spacing w:before="0" w:after="0"/>
        <w:rPr/>
      </w:pPr>
      <w:r>
        <w:rPr/>
      </w:r>
    </w:p>
    <w:p>
      <w:pPr>
        <w:pStyle w:val="Caption"/>
        <w:bidi w:val="0"/>
        <w:spacing w:before="0" w:after="0"/>
        <w:rPr/>
      </w:pPr>
      <w:r>
        <w:drawing>
          <wp:anchor distT="71755" distB="0" distL="0" distR="0" simplePos="0" relativeHeight="1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5760085" cy="3239770"/>
            <wp:effectExtent l="0" t="0" r="0" b="0"/>
            <wp:wrapTopAndBottom/>
            <wp:docPr id="17" name="Image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7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Fig. 6.3 — Correlação cruzada (unnormalizada) do nível médio entre Cananeia e Ubatuba.</w:t>
      </w:r>
    </w:p>
    <w:p>
      <w:pPr>
        <w:pStyle w:val="QHead"/>
        <w:bidi w:val="0"/>
        <w:spacing w:before="0" w:after="0"/>
        <w:jc w:val="start"/>
        <w:rPr/>
      </w:pPr>
      <w:r>
        <w:rPr/>
      </w:r>
    </w:p>
    <w:p>
      <w:pPr>
        <w:pStyle w:val="QHead"/>
        <w:bidi w:val="0"/>
        <w:spacing w:before="0" w:after="0"/>
        <w:jc w:val="start"/>
        <w:rPr/>
      </w:pPr>
      <w:r>
        <w:rPr/>
      </w:r>
      <w:r>
        <w:br w:type="page"/>
      </w:r>
    </w:p>
    <w:p>
      <w:pPr>
        <w:pStyle w:val="QHead"/>
        <w:bidi w:val="0"/>
        <w:spacing w:before="0" w:after="0"/>
        <w:jc w:val="start"/>
        <w:rPr>
          <w:u w:val="single"/>
        </w:rPr>
      </w:pPr>
      <w:r>
        <w:rPr>
          <w:u w:val="single"/>
        </w:rPr>
        <w:t xml:space="preserve">A partir dos dados na região costeira de Santos (SP): </w:t>
      </w:r>
    </w:p>
    <w:p>
      <w:pPr>
        <w:pStyle w:val="QHead"/>
        <w:bidi w:val="0"/>
        <w:spacing w:before="0" w:after="0"/>
        <w:jc w:val="start"/>
        <w:rPr/>
      </w:pPr>
      <w:r>
        <w:rPr/>
      </w:r>
    </w:p>
    <w:p>
      <w:pPr>
        <w:pStyle w:val="QHead"/>
        <w:bidi w:val="0"/>
        <w:spacing w:before="0" w:after="0"/>
        <w:jc w:val="start"/>
        <w:rPr/>
      </w:pPr>
      <w:r>
        <w:rPr/>
        <w:t xml:space="preserve">7) </w:t>
      </w:r>
      <w:r>
        <w:rPr/>
        <w:t>Plotar as séries de componentes de correntes EW e NS, efetuar análise das correntes de maré e fazer previsão de correntes de maré para o período analisado .</w:t>
      </w:r>
    </w:p>
    <w:p>
      <w:pPr>
        <w:pStyle w:val="QHead"/>
        <w:bidi w:val="0"/>
        <w:spacing w:before="0" w:after="0"/>
        <w:jc w:val="start"/>
        <w:rPr/>
      </w:pPr>
      <w:r>
        <w:rPr/>
      </w:r>
    </w:p>
    <w:p>
      <w:pPr>
        <w:pStyle w:val="Body"/>
        <w:bidi w:val="0"/>
        <w:spacing w:before="0" w:after="0"/>
        <w:jc w:val="start"/>
        <w:rPr/>
      </w:pPr>
      <w:r>
        <w:rPr/>
        <w:t>Os dados de correntes na região costeira de Santos (24°01'S; 46°20'W) cobrem ~38,6 dias (1855 amostras a cada 30 min). A análise rotacional (corrente complexa u + iv) explica 91,5 % da variância sintetizada em EW e 71,5 % em NS. A análise por mínimos quadrados explica 84,9 % (EW) e 67,7 % (NS). A componente K1 é a mais energética (semieixo maior = 0,129 m/s), seguida de S2 (0,062 m/s). M2 tem SNR &lt; 2 e não é significativa estatisticamente. O maior percentual explicado em EW reflete a propagação preferencial das correntes de maré ao longo da costa nessa direção.</w:t>
      </w:r>
    </w:p>
    <w:p>
      <w:pPr>
        <w:pStyle w:val="Body"/>
        <w:bidi w:val="0"/>
        <w:spacing w:before="0" w:after="0"/>
        <w:jc w:val="start"/>
        <w:rPr/>
      </w:pPr>
      <w:r>
        <w:rPr/>
      </w:r>
    </w:p>
    <w:p>
      <w:pPr>
        <w:pStyle w:val="Caption"/>
        <w:bidi w:val="0"/>
        <w:spacing w:before="0" w:after="0"/>
        <w:rPr/>
      </w:pPr>
      <w:r>
        <w:drawing>
          <wp:anchor distT="71755" distB="0" distL="0" distR="0" simplePos="0" relativeHeight="1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5760085" cy="3599815"/>
            <wp:effectExtent l="0" t="0" r="0" b="0"/>
            <wp:wrapTopAndBottom/>
            <wp:docPr id="18" name="Image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8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5998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Fig. 7.1 — Séries de correntes EW (cima) e NS (baixo), Santos.</w:t>
      </w:r>
    </w:p>
    <w:p>
      <w:pPr>
        <w:pStyle w:val="Caption"/>
        <w:bidi w:val="0"/>
        <w:spacing w:before="0" w:after="0"/>
        <w:rPr/>
      </w:pPr>
      <w:r>
        <w:drawing>
          <wp:anchor distT="71755" distB="0" distL="0" distR="0" simplePos="0" relativeHeight="2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5760085" cy="3599815"/>
            <wp:effectExtent l="0" t="0" r="0" b="0"/>
            <wp:wrapTopAndBottom/>
            <wp:docPr id="19" name="Image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9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5998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Fig. 7.2 — Correntes medidas (azul) vs. previsão de maré rotacional (vermelho): EW e NS, Santos.</w:t>
      </w:r>
    </w:p>
    <w:p>
      <w:pPr>
        <w:pStyle w:val="Caption"/>
        <w:bidi w:val="0"/>
        <w:spacing w:before="0" w:after="0"/>
        <w:rPr/>
      </w:pPr>
      <w:r>
        <w:rPr/>
      </w:r>
    </w:p>
    <w:p>
      <w:pPr>
        <w:pStyle w:val="QHead"/>
        <w:bidi w:val="0"/>
        <w:spacing w:before="0" w:after="0"/>
        <w:jc w:val="start"/>
        <w:rPr/>
      </w:pPr>
      <w:r>
        <w:rPr/>
        <w:t xml:space="preserve">8) </w:t>
      </w:r>
      <w:r>
        <w:rPr/>
        <w:t>Plotar as elipses das componentes de correntes de maré M2, S2, K1 e O1.</w:t>
      </w:r>
    </w:p>
    <w:p>
      <w:pPr>
        <w:pStyle w:val="QHead"/>
        <w:bidi w:val="0"/>
        <w:spacing w:before="0" w:after="0"/>
        <w:jc w:val="start"/>
        <w:rPr/>
      </w:pPr>
      <w:r>
        <w:rPr/>
      </w:r>
    </w:p>
    <w:p>
      <w:pPr>
        <w:pStyle w:val="Body"/>
        <w:bidi w:val="0"/>
        <w:spacing w:before="0" w:after="0"/>
        <w:jc w:val="start"/>
        <w:rPr/>
      </w:pPr>
      <w:r>
        <w:rPr/>
        <w:t>As elipses foram construídas combinando as amplitudes e fases das componentes EW e NS. K1 domina com a maior elipse (H_ew = 0,037 m/s, H_ns = 0,128 m/s, inclinação 223°/283°). S2 tem a segunda maior elipse (H_ew = 0,016 m/s, H_ns = 0,062 m/s). M2 e O1 são muito pequenas (&lt; 0,03 m/s em todos os eixos). A orientação predominante NE-SW das elipses de K1 e S2 é consistente com a geometria do canal estuarino de Santos/São Vicente.</w:t>
      </w:r>
    </w:p>
    <w:p>
      <w:pPr>
        <w:pStyle w:val="Body"/>
        <w:bidi w:val="0"/>
        <w:spacing w:before="0" w:after="0"/>
        <w:jc w:val="start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27"/>
        <w:gridCol w:w="1927"/>
        <w:gridCol w:w="1928"/>
        <w:gridCol w:w="1927"/>
        <w:gridCol w:w="1929"/>
      </w:tblGrid>
      <w:tr>
        <w:trPr/>
        <w:tc>
          <w:tcPr>
            <w:tcW w:w="1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CHdr"/>
              <w:bidi w:val="0"/>
              <w:spacing w:before="0" w:after="0"/>
              <w:jc w:val="center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Comp.</w:t>
            </w:r>
          </w:p>
        </w:tc>
        <w:tc>
          <w:tcPr>
            <w:tcW w:w="1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CHdr"/>
              <w:bidi w:val="0"/>
              <w:spacing w:before="0" w:after="0"/>
              <w:jc w:val="center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H_EW (m/s)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CHdr"/>
              <w:bidi w:val="0"/>
              <w:spacing w:before="0" w:after="0"/>
              <w:jc w:val="center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g_EW (°)</w:t>
            </w:r>
          </w:p>
        </w:tc>
        <w:tc>
          <w:tcPr>
            <w:tcW w:w="1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CHdr"/>
              <w:bidi w:val="0"/>
              <w:spacing w:before="0" w:after="0"/>
              <w:jc w:val="center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H_NS (m/s)</w:t>
            </w:r>
          </w:p>
        </w:tc>
        <w:tc>
          <w:tcPr>
            <w:tcW w:w="19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CHdr"/>
              <w:bidi w:val="0"/>
              <w:spacing w:before="0" w:after="0"/>
              <w:jc w:val="center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g_NS (°)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M2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0,0095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43,56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0,0288</w:t>
            </w:r>
          </w:p>
        </w:tc>
        <w:tc>
          <w:tcPr>
            <w:tcW w:w="192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59,89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S2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0,0159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62,25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0,0618</w:t>
            </w:r>
          </w:p>
        </w:tc>
        <w:tc>
          <w:tcPr>
            <w:tcW w:w="192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133,48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K1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0,0369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223,15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0,1278</w:t>
            </w:r>
          </w:p>
        </w:tc>
        <w:tc>
          <w:tcPr>
            <w:tcW w:w="192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283,45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O1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0,0207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334,26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0,0047</w:t>
            </w:r>
          </w:p>
        </w:tc>
        <w:tc>
          <w:tcPr>
            <w:tcW w:w="192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197,27</w:t>
            </w:r>
          </w:p>
        </w:tc>
      </w:tr>
    </w:tbl>
    <w:p>
      <w:pPr>
        <w:pStyle w:val="Body"/>
        <w:bidi w:val="0"/>
        <w:spacing w:before="0" w:after="0"/>
        <w:jc w:val="start"/>
        <w:rPr/>
      </w:pPr>
      <w:r>
        <w:rPr/>
      </w:r>
    </w:p>
    <w:p>
      <w:pPr>
        <w:pStyle w:val="Caption"/>
        <w:bidi w:val="0"/>
        <w:spacing w:before="0" w:after="0"/>
        <w:rPr/>
      </w:pPr>
      <w:r>
        <w:drawing>
          <wp:anchor distT="71755" distB="0" distL="0" distR="0" simplePos="0" relativeHeight="2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5760085" cy="4679950"/>
            <wp:effectExtent l="0" t="0" r="0" b="0"/>
            <wp:wrapTopAndBottom/>
            <wp:docPr id="20" name="Image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20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679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Fig. 8.1 — Elipses de correntes de maré para M2, S2, K1 e O1, Santos.</w:t>
      </w:r>
    </w:p>
    <w:p>
      <w:pPr>
        <w:pStyle w:val="Caption"/>
        <w:bidi w:val="0"/>
        <w:spacing w:before="0" w:after="0"/>
        <w:rPr/>
      </w:pPr>
      <w:r>
        <w:rPr/>
      </w:r>
    </w:p>
    <w:p>
      <w:pPr>
        <w:pStyle w:val="QHead"/>
        <w:bidi w:val="0"/>
        <w:spacing w:before="0" w:after="0"/>
        <w:jc w:val="start"/>
        <w:rPr/>
      </w:pPr>
      <w:r>
        <w:rPr/>
        <w:t xml:space="preserve">9) </w:t>
      </w:r>
      <w:r>
        <w:rPr/>
        <w:t xml:space="preserve">Plotar as séries residuais (medições menos previsão) das componentes de correntes EW e NS. </w:t>
      </w:r>
    </w:p>
    <w:p>
      <w:pPr>
        <w:pStyle w:val="QHead"/>
        <w:bidi w:val="0"/>
        <w:spacing w:before="0" w:after="0"/>
        <w:jc w:val="start"/>
        <w:rPr/>
      </w:pPr>
      <w:r>
        <w:rPr/>
      </w:r>
    </w:p>
    <w:p>
      <w:pPr>
        <w:pStyle w:val="Body"/>
        <w:bidi w:val="0"/>
        <w:spacing w:before="0" w:after="0"/>
        <w:jc w:val="start"/>
        <w:rPr/>
      </w:pPr>
      <w:r>
        <w:rPr/>
        <w:t>Os resíduos (medição − previsão rotacional) mostram amplitudes muito superiores ao sinal de maré previsto: DP_EW = 0,139 m/s e DP_NS = 0,205 m/s, com extremos de ±0,36 m/s em EW e ±0,65 m/s em NS. Isso confirma que as correntes na região costeira de Santos são dominadas por forçantes não-periódicas: variações de vento, gradiente de pressão baroclínico e maré meteorológica. Os episódios de correntes mais intensas nos resíduos coincidem com passagens de frentes frias ao longo da costa sudeste.</w:t>
      </w:r>
    </w:p>
    <w:p>
      <w:pPr>
        <w:pStyle w:val="Body"/>
        <w:bidi w:val="0"/>
        <w:spacing w:before="0" w:after="0"/>
        <w:jc w:val="start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27"/>
        <w:gridCol w:w="1927"/>
        <w:gridCol w:w="1928"/>
        <w:gridCol w:w="1927"/>
        <w:gridCol w:w="1929"/>
      </w:tblGrid>
      <w:tr>
        <w:trPr/>
        <w:tc>
          <w:tcPr>
            <w:tcW w:w="1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CHdr"/>
              <w:bidi w:val="0"/>
              <w:spacing w:before="0" w:after="0"/>
              <w:jc w:val="center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Componente</w:t>
            </w:r>
          </w:p>
        </w:tc>
        <w:tc>
          <w:tcPr>
            <w:tcW w:w="1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CHdr"/>
              <w:bidi w:val="0"/>
              <w:spacing w:before="0" w:after="0"/>
              <w:jc w:val="center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Média (m/s)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CHdr"/>
              <w:bidi w:val="0"/>
              <w:spacing w:before="0" w:after="0"/>
              <w:jc w:val="center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DP (m/s)</w:t>
            </w:r>
          </w:p>
        </w:tc>
        <w:tc>
          <w:tcPr>
            <w:tcW w:w="1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CHdr"/>
              <w:bidi w:val="0"/>
              <w:spacing w:before="0" w:after="0"/>
              <w:jc w:val="center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Mínimo (m/s)</w:t>
            </w:r>
          </w:p>
        </w:tc>
        <w:tc>
          <w:tcPr>
            <w:tcW w:w="19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CHdr"/>
              <w:bidi w:val="0"/>
              <w:spacing w:before="0" w:after="0"/>
              <w:jc w:val="center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Máximo (m/s)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EW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−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0,0008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0,1390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−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0,3609</w:t>
            </w:r>
          </w:p>
        </w:tc>
        <w:tc>
          <w:tcPr>
            <w:tcW w:w="192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0,3733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NS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0,0017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0,2045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−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0,6283</w:t>
            </w:r>
          </w:p>
        </w:tc>
        <w:tc>
          <w:tcPr>
            <w:tcW w:w="192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center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0,6545</w:t>
            </w:r>
          </w:p>
        </w:tc>
      </w:tr>
    </w:tbl>
    <w:p>
      <w:pPr>
        <w:pStyle w:val="Body"/>
        <w:bidi w:val="0"/>
        <w:spacing w:before="0" w:after="0"/>
        <w:jc w:val="start"/>
        <w:rPr/>
      </w:pPr>
      <w:r>
        <w:rPr/>
      </w:r>
    </w:p>
    <w:p>
      <w:pPr>
        <w:pStyle w:val="Caption"/>
        <w:bidi w:val="0"/>
        <w:spacing w:before="0" w:after="0"/>
        <w:rPr/>
      </w:pPr>
      <w:r>
        <w:drawing>
          <wp:anchor distT="71755" distB="0" distL="0" distR="0" simplePos="0" relativeHeight="2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5760085" cy="3599815"/>
            <wp:effectExtent l="0" t="0" r="0" b="0"/>
            <wp:wrapTopAndBottom/>
            <wp:docPr id="21" name="Image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21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5998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Fig. 9.1 — Resíduos de correntes EW (cima) e NS (baixo), Santos.</w:t>
      </w:r>
    </w:p>
    <w:p>
      <w:pPr>
        <w:pStyle w:val="Caption"/>
        <w:bidi w:val="0"/>
        <w:spacing w:before="0" w:after="0"/>
        <w:rPr/>
      </w:pPr>
      <w:r>
        <w:rPr/>
      </w:r>
    </w:p>
    <w:p>
      <w:pPr>
        <w:pStyle w:val="QHead"/>
        <w:bidi w:val="0"/>
        <w:spacing w:before="0" w:after="0"/>
        <w:jc w:val="start"/>
        <w:rPr/>
      </w:pPr>
      <w:r>
        <w:rPr/>
        <w:t xml:space="preserve">10) </w:t>
      </w:r>
      <w:r>
        <w:rPr/>
        <w:t xml:space="preserve">Efetuar comparações com parâmetros estatísticos básicos e relações cruzadas (com defasagens) entre as séries de nível do mar e de temperatura no fundo. </w:t>
      </w:r>
    </w:p>
    <w:p>
      <w:pPr>
        <w:pStyle w:val="QHead"/>
        <w:bidi w:val="0"/>
        <w:spacing w:before="0" w:after="0"/>
        <w:jc w:val="start"/>
        <w:rPr/>
      </w:pPr>
      <w:r>
        <w:rPr/>
      </w:r>
    </w:p>
    <w:p>
      <w:pPr>
        <w:pStyle w:val="Body"/>
        <w:bidi w:val="0"/>
        <w:spacing w:before="0" w:after="0"/>
        <w:jc w:val="start"/>
        <w:rPr/>
      </w:pPr>
      <w:r>
        <w:rPr/>
        <w:t>A correlação entre nível do mar e temperatura no fundo em Santos é fraca (r = 0,185; R² = 0,034), indicando que a temperatura não é primariamente controlada pelo nível. Contudo, a correlação cruzada apresenta pico de 0,327 com defasagem de −21 h: a temperatura no fundo lidera o nível por ~21 h. Essa relação pode refletir intrusões de água fria da plataforma (advecção baroclínica) que elevam o nível local com defasagem em relação à variação de temperatura no fundo. Nível: média = 0,00 m; DP = 0,375 m (range: −1,05 a +1,00 m). Temperatura: média = 23,77 °C; DP = 1,69 °C (range: 20,25–26,85 °C).</w:t>
      </w:r>
    </w:p>
    <w:p>
      <w:pPr>
        <w:pStyle w:val="Body"/>
        <w:bidi w:val="0"/>
        <w:spacing w:before="0" w:after="0"/>
        <w:jc w:val="start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818"/>
        <w:gridCol w:w="4820"/>
      </w:tblGrid>
      <w:tr>
        <w:trPr/>
        <w:tc>
          <w:tcPr>
            <w:tcW w:w="48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CHdr"/>
              <w:bidi w:val="0"/>
              <w:spacing w:before="0" w:after="0"/>
              <w:jc w:val="center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Parâmetro</w:t>
            </w:r>
          </w:p>
        </w:tc>
        <w:tc>
          <w:tcPr>
            <w:tcW w:w="48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CHdr"/>
              <w:bidi w:val="0"/>
              <w:spacing w:before="0" w:after="0"/>
              <w:jc w:val="center"/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Valor</w:t>
            </w:r>
          </w:p>
        </w:tc>
      </w:tr>
      <w:tr>
        <w:trPr/>
        <w:tc>
          <w:tcPr>
            <w:tcW w:w="48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Correlação r (nível vs T)</w:t>
            </w:r>
          </w:p>
        </w:tc>
        <w:tc>
          <w:tcPr>
            <w:tcW w:w="48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ind w:end="113"/>
              <w:jc w:val="end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0,185</w:t>
            </w:r>
          </w:p>
        </w:tc>
      </w:tr>
      <w:tr>
        <w:trPr/>
        <w:tc>
          <w:tcPr>
            <w:tcW w:w="48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R²</w:t>
            </w:r>
          </w:p>
        </w:tc>
        <w:tc>
          <w:tcPr>
            <w:tcW w:w="48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ind w:end="113"/>
              <w:jc w:val="end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0,034</w:t>
            </w:r>
          </w:p>
        </w:tc>
      </w:tr>
      <w:tr>
        <w:trPr/>
        <w:tc>
          <w:tcPr>
            <w:tcW w:w="48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Xcorr máx (normalizada)</w:t>
            </w:r>
          </w:p>
        </w:tc>
        <w:tc>
          <w:tcPr>
            <w:tcW w:w="48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ind w:end="113"/>
              <w:jc w:val="end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0,327</w:t>
            </w:r>
          </w:p>
        </w:tc>
      </w:tr>
      <w:tr>
        <w:trPr/>
        <w:tc>
          <w:tcPr>
            <w:tcW w:w="48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Defasagem xcorr máx</w:t>
            </w:r>
          </w:p>
        </w:tc>
        <w:tc>
          <w:tcPr>
            <w:tcW w:w="48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ind w:end="113"/>
              <w:jc w:val="end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−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21 h (T lidera)</w:t>
            </w:r>
          </w:p>
        </w:tc>
      </w:tr>
      <w:tr>
        <w:trPr/>
        <w:tc>
          <w:tcPr>
            <w:tcW w:w="48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Nível: DP</w:t>
            </w:r>
          </w:p>
        </w:tc>
        <w:tc>
          <w:tcPr>
            <w:tcW w:w="48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ind w:end="113"/>
              <w:jc w:val="end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0,375 m</w:t>
            </w:r>
          </w:p>
        </w:tc>
      </w:tr>
      <w:tr>
        <w:trPr/>
        <w:tc>
          <w:tcPr>
            <w:tcW w:w="48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Temperatura: média / DP</w:t>
            </w:r>
          </w:p>
        </w:tc>
        <w:tc>
          <w:tcPr>
            <w:tcW w:w="48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CCell"/>
              <w:bidi w:val="0"/>
              <w:spacing w:before="0" w:after="0"/>
              <w:ind w:end="113"/>
              <w:jc w:val="end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0"/>
                <w:szCs w:val="20"/>
                <w:u w:val="none"/>
              </w:rPr>
              <w:t>23,77 °C / 1,69 °C</w:t>
            </w:r>
          </w:p>
        </w:tc>
      </w:tr>
    </w:tbl>
    <w:p>
      <w:pPr>
        <w:pStyle w:val="Caption"/>
        <w:bidi w:val="0"/>
        <w:spacing w:before="0" w:after="0"/>
        <w:rPr/>
      </w:pPr>
      <w:r>
        <w:drawing>
          <wp:anchor distT="71755" distB="0" distL="0" distR="0" simplePos="0" relativeHeight="2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5581015" cy="3488055"/>
            <wp:effectExtent l="0" t="0" r="0" b="0"/>
            <wp:wrapTopAndBottom/>
            <wp:docPr id="22" name="Image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22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015" cy="34880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Fig. 10.1 — Nível do mar (cima) e temperatura no fundo (baixo), Santos.</w:t>
      </w:r>
    </w:p>
    <w:p>
      <w:pPr>
        <w:pStyle w:val="Caption"/>
        <w:bidi w:val="0"/>
        <w:spacing w:before="0" w:after="0"/>
        <w:rPr/>
      </w:pPr>
      <w:r>
        <w:rPr/>
      </w:r>
    </w:p>
    <w:p>
      <w:pPr>
        <w:pStyle w:val="Caption"/>
        <w:bidi w:val="0"/>
        <w:spacing w:before="0" w:after="0"/>
        <w:rPr/>
      </w:pPr>
      <w:r>
        <w:drawing>
          <wp:anchor distT="71755" distB="0" distL="0" distR="0" simplePos="0" relativeHeight="2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5547360" cy="3813810"/>
            <wp:effectExtent l="0" t="0" r="0" b="0"/>
            <wp:wrapTopAndBottom/>
            <wp:docPr id="23" name="Image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23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7360" cy="38138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Fig. 10.2 — Diagrama de espalhamento: nível do mar vs. temperatura.</w:t>
      </w:r>
    </w:p>
    <w:p>
      <w:pPr>
        <w:pStyle w:val="Caption"/>
        <w:bidi w:val="0"/>
        <w:spacing w:before="0" w:after="0"/>
        <w:rPr/>
      </w:pPr>
      <w:r>
        <w:drawing>
          <wp:anchor distT="71755" distB="0" distL="0" distR="0" simplePos="0" relativeHeight="2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5760085" cy="3239770"/>
            <wp:effectExtent l="0" t="0" r="0" b="0"/>
            <wp:wrapTopAndBottom/>
            <wp:docPr id="24" name="Image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24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Fig. 10.3 — Correlação cruzada (normalizada) entre nível do mar e temperatura no fundo.</w:t>
      </w:r>
    </w:p>
    <w:p>
      <w:pPr>
        <w:pStyle w:val="Caption"/>
        <w:bidi w:val="0"/>
        <w:spacing w:before="0" w:after="0"/>
        <w:rPr/>
      </w:pPr>
      <w:r>
        <w:rPr/>
      </w:r>
    </w:p>
    <w:p>
      <w:pPr>
        <w:pStyle w:val="Caption"/>
        <w:bidi w:val="0"/>
        <w:spacing w:before="0" w:after="0"/>
        <w:rPr/>
      </w:pPr>
      <w:r>
        <w:rPr/>
      </w:r>
    </w:p>
    <w:p>
      <w:pPr>
        <w:pStyle w:val="Caption"/>
        <w:bidi w:val="0"/>
        <w:spacing w:before="0" w:after="0"/>
        <w:jc w:val="start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</w:r>
    </w:p>
    <w:p>
      <w:pPr>
        <w:pStyle w:val="Caption"/>
        <w:bidi w:val="0"/>
        <w:spacing w:before="0" w:after="0"/>
        <w:jc w:val="start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</w:r>
    </w:p>
    <w:p>
      <w:pPr>
        <w:pStyle w:val="Caption"/>
        <w:bidi w:val="0"/>
        <w:spacing w:before="0" w:after="0"/>
        <w:jc w:val="start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</w:r>
    </w:p>
    <w:p>
      <w:pPr>
        <w:pStyle w:val="Caption"/>
        <w:bidi w:val="0"/>
        <w:spacing w:before="0" w:after="0"/>
        <w:jc w:val="start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</w:r>
    </w:p>
    <w:p>
      <w:pPr>
        <w:pStyle w:val="Caption"/>
        <w:bidi w:val="0"/>
        <w:spacing w:before="0" w:after="0"/>
        <w:jc w:val="start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</w:r>
    </w:p>
    <w:p>
      <w:pPr>
        <w:pStyle w:val="Caption"/>
        <w:bidi w:val="0"/>
        <w:spacing w:before="0" w:after="0"/>
        <w:jc w:val="start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</w:r>
    </w:p>
    <w:p>
      <w:pPr>
        <w:pStyle w:val="Caption"/>
        <w:bidi w:val="0"/>
        <w:spacing w:before="0" w:after="0"/>
        <w:jc w:val="start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</w:r>
    </w:p>
    <w:p>
      <w:pPr>
        <w:pStyle w:val="Caption"/>
        <w:bidi w:val="0"/>
        <w:spacing w:before="0" w:after="0"/>
        <w:jc w:val="start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</w:r>
    </w:p>
    <w:p>
      <w:pPr>
        <w:pStyle w:val="Caption"/>
        <w:bidi w:val="0"/>
        <w:spacing w:before="0" w:after="0"/>
        <w:jc w:val="start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</w:r>
    </w:p>
    <w:p>
      <w:pPr>
        <w:pStyle w:val="Caption"/>
        <w:bidi w:val="0"/>
        <w:spacing w:before="0" w:after="0"/>
        <w:jc w:val="start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</w:r>
    </w:p>
    <w:p>
      <w:pPr>
        <w:pStyle w:val="Caption"/>
        <w:bidi w:val="0"/>
        <w:spacing w:before="0" w:after="0"/>
        <w:jc w:val="start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</w:r>
    </w:p>
    <w:p>
      <w:pPr>
        <w:pStyle w:val="Caption"/>
        <w:bidi w:val="0"/>
        <w:spacing w:before="0" w:after="0"/>
        <w:jc w:val="start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</w:r>
    </w:p>
    <w:p>
      <w:pPr>
        <w:pStyle w:val="Caption"/>
        <w:bidi w:val="0"/>
        <w:spacing w:before="0" w:after="0"/>
        <w:jc w:val="start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</w:r>
    </w:p>
    <w:p>
      <w:pPr>
        <w:pStyle w:val="Caption"/>
        <w:bidi w:val="0"/>
        <w:spacing w:before="0" w:after="0"/>
        <w:jc w:val="start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</w:r>
    </w:p>
    <w:p>
      <w:pPr>
        <w:pStyle w:val="Caption"/>
        <w:bidi w:val="0"/>
        <w:spacing w:before="0" w:after="0"/>
        <w:jc w:val="start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</w:r>
    </w:p>
    <w:p>
      <w:pPr>
        <w:pStyle w:val="Caption"/>
        <w:bidi w:val="0"/>
        <w:spacing w:before="0" w:after="0"/>
        <w:jc w:val="start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</w:r>
    </w:p>
    <w:p>
      <w:pPr>
        <w:pStyle w:val="Caption"/>
        <w:bidi w:val="0"/>
        <w:spacing w:before="0" w:after="0"/>
        <w:jc w:val="start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</w:r>
    </w:p>
    <w:p>
      <w:pPr>
        <w:pStyle w:val="Caption"/>
        <w:bidi w:val="0"/>
        <w:spacing w:before="0" w:after="0"/>
        <w:jc w:val="start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</w:r>
    </w:p>
    <w:p>
      <w:pPr>
        <w:pStyle w:val="Caption"/>
        <w:bidi w:val="0"/>
        <w:spacing w:before="0" w:after="0"/>
        <w:jc w:val="start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</w:r>
    </w:p>
    <w:p>
      <w:pPr>
        <w:pStyle w:val="Caption"/>
        <w:bidi w:val="0"/>
        <w:spacing w:before="0" w:after="0"/>
        <w:jc w:val="start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</w:r>
    </w:p>
    <w:p>
      <w:pPr>
        <w:pStyle w:val="Caption"/>
        <w:bidi w:val="0"/>
        <w:spacing w:before="0" w:after="0"/>
        <w:jc w:val="start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</w:r>
    </w:p>
    <w:p>
      <w:pPr>
        <w:pStyle w:val="Caption"/>
        <w:bidi w:val="0"/>
        <w:spacing w:before="0" w:after="0"/>
        <w:jc w:val="start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</w:r>
    </w:p>
    <w:p>
      <w:pPr>
        <w:pStyle w:val="Caption"/>
        <w:bidi w:val="0"/>
        <w:spacing w:before="0" w:after="0"/>
        <w:jc w:val="start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</w:r>
    </w:p>
    <w:p>
      <w:pPr>
        <w:pStyle w:val="Caption"/>
        <w:bidi w:val="0"/>
        <w:spacing w:before="0" w:after="0"/>
        <w:jc w:val="start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</w:r>
    </w:p>
    <w:p>
      <w:pPr>
        <w:pStyle w:val="Caption"/>
        <w:bidi w:val="0"/>
        <w:spacing w:before="0" w:after="0"/>
        <w:jc w:val="start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</w:r>
    </w:p>
    <w:p>
      <w:pPr>
        <w:pStyle w:val="Caption"/>
        <w:bidi w:val="0"/>
        <w:spacing w:before="0" w:after="0"/>
        <w:jc w:val="start"/>
        <w:rPr>
          <w:b w:val="false"/>
          <w:bCs w:val="false"/>
          <w:sz w:val="18"/>
          <w:szCs w:val="18"/>
        </w:rPr>
      </w:pPr>
      <w:r>
        <w:rPr>
          <w:b w:val="false"/>
          <w:bCs w:val="false"/>
          <w:sz w:val="18"/>
          <w:szCs w:val="18"/>
        </w:rPr>
        <w:t>OBSERVAÇÕES :</w:t>
      </w:r>
    </w:p>
    <w:p>
      <w:pPr>
        <w:pStyle w:val="Caption"/>
        <w:bidi w:val="0"/>
        <w:spacing w:before="0" w:after="0"/>
        <w:jc w:val="start"/>
        <w:rPr>
          <w:b w:val="false"/>
          <w:bCs w:val="false"/>
          <w:sz w:val="18"/>
          <w:szCs w:val="18"/>
        </w:rPr>
      </w:pPr>
      <w:r>
        <w:rPr>
          <w:b w:val="false"/>
          <w:bCs w:val="false"/>
          <w:sz w:val="18"/>
          <w:szCs w:val="18"/>
        </w:rPr>
        <w:t>Antes de processar dados de nível do mar (de Cananéia, Ubatuba e da região costeira de Santos), subtrair as respectivas médias.</w:t>
      </w:r>
    </w:p>
    <w:p>
      <w:pPr>
        <w:pStyle w:val="Caption"/>
        <w:bidi w:val="0"/>
        <w:spacing w:before="0" w:after="0"/>
        <w:jc w:val="start"/>
        <w:rPr>
          <w:b w:val="false"/>
          <w:bCs w:val="false"/>
          <w:sz w:val="18"/>
          <w:szCs w:val="18"/>
        </w:rPr>
      </w:pPr>
      <w:r>
        <w:rPr>
          <w:b w:val="false"/>
          <w:bCs w:val="false"/>
          <w:sz w:val="18"/>
          <w:szCs w:val="18"/>
        </w:rPr>
        <w:t xml:space="preserve">Procurar sintetizar todas as respostas na forma de gráficos e tabelas </w:t>
      </w:r>
    </w:p>
    <w:p>
      <w:pPr>
        <w:pStyle w:val="Caption"/>
        <w:bidi w:val="0"/>
        <w:spacing w:before="0" w:after="0"/>
        <w:jc w:val="start"/>
        <w:rPr>
          <w:b w:val="false"/>
          <w:bCs w:val="false"/>
          <w:sz w:val="18"/>
          <w:szCs w:val="18"/>
        </w:rPr>
      </w:pPr>
      <w:r>
        <w:rPr>
          <w:b w:val="false"/>
          <w:bCs w:val="false"/>
          <w:sz w:val="18"/>
          <w:szCs w:val="18"/>
        </w:rPr>
        <w:t xml:space="preserve">Fornecer todas as respostas de forma sequencial, ordenada, com fácil identificação e leitura. </w:t>
      </w:r>
    </w:p>
    <w:sectPr>
      <w:headerReference w:type="default" r:id="rId26"/>
      <w:footerReference w:type="default" r:id="rId27"/>
      <w:type w:val="nextPage"/>
      <w:pgSz w:w="11906" w:h="16838"/>
      <w:pgMar w:left="1134" w:right="1134" w:gutter="0" w:header="1134" w:top="1785" w:footer="1134" w:bottom="1969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center"/>
      <w:rPr/>
    </w:pPr>
    <w:r>
      <w:rPr/>
      <w:t xml:space="preserve">Adriano Caversan - Análise de marés oceânicas - IOC 5801 - </w:t>
    </w:r>
    <w:r>
      <w:rPr/>
      <w:t>IOUSP</w:t>
    </w:r>
  </w:p>
  <w:p>
    <w:pPr>
      <w:pStyle w:val="Footer"/>
      <w:bidi w:val="0"/>
      <w:jc w:val="center"/>
      <w:rPr/>
    </w:pPr>
    <w:bookmarkStart w:id="0" w:name="PageNumWizard_FOOTER_Default_Page_Style1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10</w:t>
    </w:r>
    <w:r>
      <w:rPr/>
      <w:fldChar w:fldCharType="end"/>
    </w:r>
    <w:bookmarkEnd w:id="0"/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DocTitle"/>
      <w:bidi w:val="0"/>
      <w:spacing w:before="0" w:after="0"/>
      <w:rPr/>
    </w:pPr>
    <w:r>
      <w:rPr/>
      <w:t>2ª Lista de Exercícios — 1º Semestre de 2026</w:t>
    </w:r>
  </w:p>
</w:hdr>
</file>

<file path=word/settings.xml><?xml version="1.0" encoding="utf-8"?>
<w:settings xmlns:w="http://schemas.openxmlformats.org/wordprocessingml/2006/main">
  <w:zoom w:percent="120"/>
  <w:defaultTabStop w:val="1134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egoe UI" w:cs="Tahoma"/>
        <w:color w:val="000000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</w:pPr>
    <w:rPr>
      <w:rFonts w:ascii="Liberation Serif" w:hAnsi="Liberation Serif" w:eastAsia="Segoe UI" w:cs="Tahoma"/>
      <w:color w:val="000000"/>
      <w:sz w:val="24"/>
      <w:szCs w:val="24"/>
      <w:lang w:val="pt-BR" w:eastAsia="zh-CN" w:bidi="hi-IN"/>
    </w:rPr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DocTitle">
    <w:name w:val="DocTitle"/>
    <w:qFormat/>
    <w:pPr>
      <w:widowControl w:val="false"/>
      <w:kinsoku w:val="true"/>
      <w:overflowPunct w:val="true"/>
      <w:autoSpaceDE w:val="true"/>
      <w:bidi w:val="0"/>
      <w:spacing w:before="454" w:after="170"/>
      <w:jc w:val="center"/>
    </w:pPr>
    <w:rPr>
      <w:rFonts w:ascii="Liberation Serif" w:hAnsi="Liberation Serif" w:eastAsia="Segoe UI" w:cs="Tahoma"/>
      <w:b/>
      <w:color w:val="000000"/>
      <w:sz w:val="32"/>
      <w:szCs w:val="24"/>
      <w:lang w:val="pt-BR" w:eastAsia="zh-CN" w:bidi="hi-IN"/>
    </w:rPr>
  </w:style>
  <w:style w:type="paragraph" w:styleId="DocSub">
    <w:name w:val="DocSub"/>
    <w:qFormat/>
    <w:pPr>
      <w:widowControl w:val="false"/>
      <w:kinsoku w:val="true"/>
      <w:overflowPunct w:val="true"/>
      <w:autoSpaceDE w:val="true"/>
      <w:bidi w:val="0"/>
      <w:spacing w:before="0" w:after="85"/>
      <w:jc w:val="center"/>
    </w:pPr>
    <w:rPr>
      <w:rFonts w:ascii="Liberation Serif" w:hAnsi="Liberation Serif" w:eastAsia="Segoe UI" w:cs="Tahoma"/>
      <w:color w:val="000000"/>
      <w:sz w:val="22"/>
      <w:szCs w:val="24"/>
      <w:lang w:val="pt-BR" w:eastAsia="zh-CN" w:bidi="hi-IN"/>
    </w:rPr>
  </w:style>
  <w:style w:type="paragraph" w:styleId="QHead">
    <w:name w:val="QHead"/>
    <w:qFormat/>
    <w:pPr>
      <w:widowControl w:val="false"/>
      <w:kinsoku w:val="true"/>
      <w:overflowPunct w:val="true"/>
      <w:autoSpaceDE w:val="true"/>
      <w:bidi w:val="0"/>
      <w:spacing w:before="340" w:after="113"/>
    </w:pPr>
    <w:rPr>
      <w:rFonts w:ascii="Liberation Serif" w:hAnsi="Liberation Serif" w:eastAsia="Segoe UI" w:cs="Tahoma"/>
      <w:b/>
      <w:color w:val="1F497D"/>
      <w:sz w:val="26"/>
      <w:szCs w:val="24"/>
      <w:lang w:val="pt-BR" w:eastAsia="zh-CN" w:bidi="hi-IN"/>
    </w:rPr>
  </w:style>
  <w:style w:type="paragraph" w:styleId="SubHead">
    <w:name w:val="SubHead"/>
    <w:qFormat/>
    <w:pPr>
      <w:widowControl w:val="false"/>
      <w:kinsoku w:val="true"/>
      <w:overflowPunct w:val="true"/>
      <w:autoSpaceDE w:val="true"/>
      <w:bidi w:val="0"/>
      <w:spacing w:before="170" w:after="57"/>
    </w:pPr>
    <w:rPr>
      <w:rFonts w:ascii="Liberation Serif" w:hAnsi="Liberation Serif" w:eastAsia="Segoe UI" w:cs="Tahoma"/>
      <w:b/>
      <w:color w:val="000000"/>
      <w:sz w:val="22"/>
      <w:szCs w:val="24"/>
      <w:lang w:val="pt-BR" w:eastAsia="zh-CN" w:bidi="hi-IN"/>
    </w:rPr>
  </w:style>
  <w:style w:type="paragraph" w:styleId="Body">
    <w:name w:val="Body"/>
    <w:qFormat/>
    <w:pPr>
      <w:widowControl w:val="false"/>
      <w:kinsoku w:val="true"/>
      <w:overflowPunct w:val="true"/>
      <w:autoSpaceDE w:val="true"/>
      <w:bidi w:val="0"/>
      <w:spacing w:before="28" w:after="113"/>
      <w:ind w:hanging="0"/>
    </w:pPr>
    <w:rPr>
      <w:rFonts w:ascii="Liberation Serif" w:hAnsi="Liberation Serif" w:eastAsia="Segoe UI" w:cs="Tahoma"/>
      <w:color w:val="000000"/>
      <w:sz w:val="22"/>
      <w:szCs w:val="24"/>
      <w:lang w:val="pt-BR" w:eastAsia="zh-CN" w:bidi="hi-IN"/>
    </w:rPr>
  </w:style>
  <w:style w:type="paragraph" w:styleId="Caption">
    <w:name w:val="caption"/>
    <w:qFormat/>
    <w:pPr>
      <w:widowControl w:val="false"/>
      <w:kinsoku w:val="true"/>
      <w:overflowPunct w:val="true"/>
      <w:autoSpaceDE w:val="true"/>
      <w:bidi w:val="0"/>
      <w:spacing w:before="28" w:after="227"/>
      <w:jc w:val="center"/>
    </w:pPr>
    <w:rPr>
      <w:rFonts w:ascii="Liberation Serif" w:hAnsi="Liberation Serif" w:eastAsia="Segoe UI" w:cs="Tahoma"/>
      <w:i/>
      <w:color w:val="000000"/>
      <w:sz w:val="18"/>
      <w:szCs w:val="24"/>
      <w:lang w:val="pt-BR" w:eastAsia="zh-CN" w:bidi="hi-IN"/>
    </w:rPr>
  </w:style>
  <w:style w:type="paragraph" w:styleId="TCHdr">
    <w:name w:val="TCHdr"/>
    <w:qFormat/>
    <w:pPr>
      <w:widowControl w:val="false"/>
      <w:kinsoku w:val="true"/>
      <w:overflowPunct w:val="true"/>
      <w:autoSpaceDE w:val="true"/>
      <w:bidi w:val="0"/>
      <w:spacing w:before="28" w:after="28"/>
    </w:pPr>
    <w:rPr>
      <w:rFonts w:ascii="Liberation Serif" w:hAnsi="Liberation Serif" w:eastAsia="Segoe UI" w:cs="Tahoma"/>
      <w:b/>
      <w:color w:val="000000"/>
      <w:sz w:val="20"/>
      <w:szCs w:val="24"/>
      <w:lang w:val="pt-BR" w:eastAsia="zh-CN" w:bidi="hi-IN"/>
    </w:rPr>
  </w:style>
  <w:style w:type="paragraph" w:styleId="TCCell">
    <w:name w:val="TCCell"/>
    <w:qFormat/>
    <w:pPr>
      <w:widowControl w:val="false"/>
      <w:kinsoku w:val="true"/>
      <w:overflowPunct w:val="true"/>
      <w:autoSpaceDE w:val="true"/>
      <w:bidi w:val="0"/>
      <w:spacing w:before="28" w:after="28"/>
    </w:pPr>
    <w:rPr>
      <w:rFonts w:ascii="Liberation Serif" w:hAnsi="Liberation Serif" w:eastAsia="Segoe UI" w:cs="Tahoma"/>
      <w:color w:val="000000"/>
      <w:sz w:val="20"/>
      <w:szCs w:val="24"/>
      <w:lang w:val="pt-BR" w:eastAsia="zh-CN" w:bidi="hi-I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ListContents">
    <w:name w:val="List Contents"/>
    <w:basedOn w:val="Normal"/>
    <w:qFormat/>
    <w:pPr>
      <w:ind w:start="567"/>
    </w:pPr>
    <w:rPr/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List">
    <w:name w:val="List"/>
    <w:basedOn w:val="BodyText"/>
    <w:pPr/>
    <w:rPr>
      <w:rFonts w:cs="Lucida Sans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image" Target="media/image23.png"/><Relationship Id="rId25" Type="http://schemas.openxmlformats.org/officeDocument/2006/relationships/image" Target="media/image24.png"/><Relationship Id="rId26" Type="http://schemas.openxmlformats.org/officeDocument/2006/relationships/header" Target="header1.xml"/><Relationship Id="rId27" Type="http://schemas.openxmlformats.org/officeDocument/2006/relationships/footer" Target="footer1.xml"/><Relationship Id="rId28" Type="http://schemas.openxmlformats.org/officeDocument/2006/relationships/fontTable" Target="fontTable.xml"/><Relationship Id="rId29" Type="http://schemas.openxmlformats.org/officeDocument/2006/relationships/settings" Target="settings.xml"/><Relationship Id="rId3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50</TotalTime>
  <Application>LibreOffice/26.2.3.2$Windows_X86_64 LibreOffice_project/70e089b17412e4cb7773e41413306b17a2328c34</Application>
  <AppVersion>15.0000</AppVersion>
  <Pages>17</Pages>
  <Words>1903</Words>
  <Characters>9337</Characters>
  <CharactersWithSpaces>11060</CharactersWithSpaces>
  <Paragraphs>212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pt-BR</dc:language>
  <cp:lastModifiedBy/>
  <cp:lastPrinted>2026-06-02T11:16:55Z</cp:lastPrinted>
  <dcterms:modified xsi:type="dcterms:W3CDTF">2026-06-02T11:35:24Z</dcterms:modified>
  <cp:revision>9</cp:revision>
  <dc:subject/>
  <dc:title/>
</cp:coreProperties>
</file>