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Places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 · 地形—战略叠加底图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山链·流域·口岸·通道分层叠加：读懂深圳每份规划背后未署名的第一作者。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4wadmaewu-8jeudg0e9g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返回城市与地理栏目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SHENZHEN · 1980—2026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 a stratigraphic chart of terrain &amp; strategy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地形—战略叠加底图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山链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流域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口岸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通道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「四个面向」的地理底稿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制度落差 × 地理落差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特区授权提供势能，山海格局提供导管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视角·全览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制度落差 × 地理落差：特区授权提供势能，山海格局提供导管。读懂山链与流域，就读懂每份规划背后未署名的第一作者。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方法注记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行政边界据公开行政区划数据（DataV 镜像）经道格拉斯—普克简化（容差约 60 m）；香港、东莞、惠州、中山轮廓为粗略示意；山脊、河道、分水岭、二线与通道走向均为示意精度，非测绘成果。大鹏为功能区，行政隶属龙岗，此处按空间事实单列。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断代注记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口岸、港口、通道年份见图中标注与悬停说明；特区管理线 1985 启用、2010 特区扩容至全市、2018 正式撤线。底稿：《深圳：资本主义飞地作为改革之春》综述。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drwqjktzpnhqihccepzf2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https://cavno.org/life/places/shenzhen/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深圳 · 地形—战略叠加底图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wadmaewu-8jeudg0e9gf" Type="http://schemas.openxmlformats.org/officeDocument/2006/relationships/hyperlink" Target="http://127.0.0.1:5509/life/places/" TargetMode="External"/><Relationship Id="rIddrwqjktzpnhqihccepzf2" Type="http://schemas.openxmlformats.org/officeDocument/2006/relationships/hyperlink" Target="https://cavno.org/life/places/shenzhen/" TargetMode="External"/><Relationship Id="rId8" Type="http://schemas.openxmlformats.org/officeDocument/2006/relationships/image" Target="media/4fc4ca19a0b1eb19d40fa7fe369a03e6039973c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 · 地形—战略叠加底图</dc:title>
  <dc:subject>山链·流域·口岸·通道分层叠加：读懂深圳每份规划背后未署名的第一作者。</dc:subject>
  <dc:creator>Cavno</dc:creator>
  <dc:description>山链·流域·口岸·通道分层叠加：读懂深圳每份规划背后未署名的第一作者。</dc:description>
  <cp:lastModifiedBy>Un-named</cp:lastModifiedBy>
  <cp:revision>1</cp:revision>
  <dcterms:created xsi:type="dcterms:W3CDTF">2026-09-23T19:20:50.300Z</dcterms:created>
  <dcterms:modified xsi:type="dcterms:W3CDTF">2026-09-23T19:20:50.300Z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