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Working · Training</w:t>
      </w:r>
    </w:p>
    <w:p>
      <w:pPr>
        <w:pStyle w:val="Heading1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企业培训代理公司的 AI 转型路径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面向企业培训课程代理商，从客户识别、销售转化、私域经营、直播运营到 AI 陪练产品化，构建数据贯通、人机协同的持续增长体系。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hyperlink w:history="1" r:id="rIdnprtj-lb0iy1yq_wl-5ic">
        <w:r>
          <w:rPr>
            <w:rFonts w:ascii="Aptos" w:cs="Aptos" w:eastAsia="Microsoft YaHei" w:hAnsi="Aptos"/>
            <w:b w:val="false"/>
            <w:bCs w:val="false"/>
            <w:i w:val="false"/>
            <w:iCs w:val="false"/>
            <w:strike w:val="false"/>
            <w:color w:val="2F6688"/>
            <w:u w:val="single"/>
          </w:rPr>
          <w:t xml:space="preserve">← 返回企业培训栏目</w:t>
        </w:r>
      </w:hyperlink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hyperlink w:history="1" r:id="rIdam0pmj-xfxzfolm2_oa32">
        <w:r>
          <w:rPr>
            <w:rFonts w:ascii="Aptos" w:cs="Aptos" w:eastAsia="Microsoft YaHei" w:hAnsi="Aptos"/>
            <w:b w:val="false"/>
            <w:bCs w:val="false"/>
            <w:i w:val="false"/>
            <w:iCs w:val="false"/>
            <w:strike w:val="false"/>
            <w:color w:val="2F6688"/>
            <w:u w:val="single"/>
          </w:rPr>
          <w:t xml:space="preserve">跳到正文</w:t>
        </w:r>
      </w:hyperlink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AI-ENABLED GROWTH PLAYBOOK</w:t>
      </w:r>
    </w:p>
    <w:p>
      <w:pPr>
        <w:pStyle w:val="Heading2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企业培训代理公司的</w:t>
      </w:r>
      <w:r>
        <w:rPr>
          <w:rFonts w:ascii="Aptos" w:cs="Aptos" w:eastAsia="Microsoft YaHei" w:hAnsi="Aptos"/>
        </w:rPr>
        <w:br/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AI 转型路径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从依赖课程品牌与销售人力的代理模式，升级为掌握客户数据、经营关系与持续交付能力的企业学习解决方案公司。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核心判断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AI 不只是替代销售，而是把获客、销售、交付、复购重新连成一套系统。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50%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示例毛利率假设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40%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示例净利率假设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4 个环节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获客 · 销售 · 交付 · 复购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50% 与 40% 来自原业务分析中的经营假设，须以企业实际财务数据校准。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01 · Business diagnosis</w:t>
      </w:r>
    </w:p>
    <w:p>
      <w:pPr>
        <w:pStyle w:val="Heading2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问题不在利润率，而在增长方式仍由“人和渠道”驱动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这是一门高毛利、低资产、强销售驱动的 B2B 知识产品分销业务。现金流健康，但客户、内容和交付数据没有沉淀为可复用的系统资产。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↘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获客渠道失效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电话效率下降、陌拜成本高、微信群封号封群，直播投流成本持续上升。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⇄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代理价值弱化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课程 IP 在上游、客户关系不牢固，代理容易被品牌方或客户绕过。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人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销售高度依赖个人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维护上限低、新人培养慢，优秀销售的经验很难被复制到整个团队。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≈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成交依赖关系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客户需求、跟进过程与转化信号分散，决策更多依靠感觉而非数据。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优势资产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这家公司并不缺利润空间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课程资源成熟、交付资产较轻，已有利润为试点 AI 系统提供了安全垫。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高毛利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意味着有能力把部分利润转为数据与产品资产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真正短板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缺的是可复利的客户经营能力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流量、沟通、方案与交付没有进入统一的数据闭环，每一单都像重新开始。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核心风险：上游掌握课程品牌，下游掌握采购选择，中间代理商被两端挤压。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02 · Operating blueprint</w:t>
      </w:r>
    </w:p>
    <w:p>
      <w:pPr>
        <w:pStyle w:val="Heading2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从“人找客户”转向“AI 筛选客户，人服务高价值客户”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AI 的价值不在多生成几篇文案，而在于让每一次触达都沉淀信号、让每一条信号都推动下一步动作。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传统业务链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人工串联 · 数据断点多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流量获取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销售筛选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微信好友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微信群培育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需求挖掘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人工成交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课程交付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AI 驱动业务链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数据贯通 · 人机协作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多渠道数据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AI 客户识别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AI 需求诊断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AI 方案生成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人工高价值成交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AI 培训陪练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复购预测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过去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销售精力平均分配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→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未来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AI 承担筛选，人聚焦决策与信任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03 · Acquisition</w:t>
      </w:r>
    </w:p>
    <w:p>
      <w:pPr>
        <w:pStyle w:val="Heading2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建立 AI 企业客户雷达：先识别“谁正在需要培训”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不再从微信群里撒网，而是持续捕捉企业变化信号，形成可解释的企业画像与优先销售名单。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需求信号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公开信息不是名单，而是“购买时机”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在数据来源规则允许且用途正当的前提下，把工商、招聘、融资、官网、公众号和新闻等信息转为可跟进的业务信号。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聘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销售团队快速招聘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新人扩张带来培训与管理需求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高意向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融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企业新增融资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预算与增长目标同步提升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高潜力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言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管理层公开表达焦虑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增长、组织或效率问题已显性化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需核验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扩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新增区域或产品线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标准复制与能力建设成为刚需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中高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AI 企业画像 · 示例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深圳 XX 科技有限公司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87%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示例评分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企业规模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约 300 人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近期变化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招聘 50 名销售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推测痛点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新人快速上岗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关键角色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销售 VP / HRD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推荐切入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销售训练营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下一动作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案例 + 诊断会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STEP 01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采集企业信号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仅使用合法、授权或公开数据源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STEP 02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补全企业画像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行业、规模、变化、角色与触点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STEP 03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计算需求评分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时机 × 预算 × 匹配度 × 可触达性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STEP 04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生成跟进任务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推荐内容、渠道、话术与负责人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04 · Sales conversion</w:t>
      </w:r>
    </w:p>
    <w:p>
      <w:pPr>
        <w:pStyle w:val="Heading2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让 AI 销售顾问完成初诊，让销售顾问完成信任与成交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网站、小程序或企业微信里的 AI 顾问，先问对问题、识别需求并匹配产品；人工团队只承接值得投入时间的机会。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AI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企业增长顾问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在线 · 正在进行需求初诊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您好，贵公司这次培训最希望解决哪类问题？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销售增长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管理能力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新人培养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企业文化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新人培养，销售团队最近扩张很快。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了解。目前销售团队规模是多少？预计多久完成新人的首单转化？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约 60 人，希望 60 天内见效。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已为您生成初步诊断。建议先做 30 分钟需求会，我会把团队规模、目标与推荐案例同步给顾问。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A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销售优先介入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团队规模大、决策人参与、时间和预算明确。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B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内容培育与诊断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有明确主题，但决策链或预算仍需确认。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C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自动化长期经营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个人咨询或需求较弱，进入低频内容序列。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人工聚焦：复杂方案、关键异议、价格谈判与关系建立。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05 · Customer operations</w:t>
      </w:r>
    </w:p>
    <w:p>
      <w:pPr>
        <w:pStyle w:val="Heading2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把微信群运营升级为“企业微信 + CRM + AI”的长期经营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减少高频群发与异常行为，基于客户阶段、行业和真实互动提供个性化内容，并让所有动作回到 CRM。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客户触点</w:t>
      </w:r>
      <w:r>
        <w:rPr>
          <w:rFonts w:ascii="Aptos" w:cs="Aptos" w:eastAsia="Microsoft YaHei" w:hAnsi="Aptos"/>
        </w:rPr>
        <w:br/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网站 / 直播 / 活动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企业微信</w:t>
      </w:r>
      <w:r>
        <w:rPr>
          <w:rFonts w:ascii="Aptos" w:cs="Aptos" w:eastAsia="Microsoft YaHei" w:hAnsi="Aptos"/>
        </w:rPr>
        <w:br/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合规沟通入口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CRM 客户数据中心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AI 标签与下一步建议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自动运营 + 人工跟进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示例 · 张总 / 制造业 / 500 人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千人千面的培育节奏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不是朋友圈轰炸，而是让内容跟着客户的兴趣与阶段走。</w:t>
      </w:r>
    </w:p>
    <w:p>
      <w:pPr>
        <w:spacing w:after="120" w:before="120"/>
        <w:jc w:val="center"/>
      </w:pPr>
      <w:r>
        <w:drawing>
          <wp:inline distT="0" distB="0" distL="0" distR="0">
            <wp:extent cx="5334000" cy="2362200"/>
            <wp:effectExtent t="0" r="0" b="0" l="0"/>
            <wp:docPr id="1" name="文章图示 1" descr="文章图示 1" title="文章图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6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06 · Live conversion</w:t>
      </w:r>
    </w:p>
    <w:p>
      <w:pPr>
        <w:pStyle w:val="Heading2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直播从“一次卖课”变成前、中、后的数据化转化链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AI 不负责替老师讲课，而是让主题更精准、意向识别更及时、会后跟进更连续。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01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直播前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定人群与主题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分析目标企业与岗位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提炼高频业务痛点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生成选题、脚本和素材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按人群制作落地页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02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直播中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识别高意向信号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聚类评论与提问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识别身份、痛点和预算信号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即时推送对应资料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提醒顾问关注关键用户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03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直播后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自动分层与回访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生成观看与互动摘要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按意向等级进入 CRM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推荐课程或诊断会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触发个性化跟进序列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AI 选题示例 · 深圳制造企业老板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《为什么你的销售团队 80% 的时间没有转化为有效客户进展？》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07 · Productization</w:t>
      </w:r>
    </w:p>
    <w:p>
      <w:pPr>
        <w:pStyle w:val="Heading2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把课程资产 AI 化：从卖老师时间，转向持续学习与训练系统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真正的战略机会，是把一次性课程转化为能陪练、能评分、能反馈、能持续订阅的产品。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现在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一次性交付课程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8 小时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成交后完成授课，后续行为与能力变化难持续追踪。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→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未来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企业培训 AI 系统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课程 + 陪练 + 数据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把课程知识嵌入岗位场景，让员工持续练习，让管理者看到能力变化。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AI 销售教练 · 今日模拟</w:t>
      </w:r>
    </w:p>
    <w:p>
      <w:pPr>
        <w:pBdr>
          <w:left w:val="single" w:color="D97757" w:sz="16" w:space="12"/>
        </w:pBdr>
        <w:spacing w:after="140" w:before="80" w:line="340"/>
        <w:ind w:left="480" w:right="220"/>
      </w:pPr>
      <w:r>
        <w:rPr>
          <w:rFonts w:ascii="Aptos" w:cs="Aptos" w:eastAsia="Microsoft YaHei" w:hAnsi="Aptos"/>
          <w:b w:val="false"/>
          <w:bCs w:val="false"/>
          <w:i/>
          <w:iCs/>
          <w:strike w:val="false"/>
          <w:color w:val="4F4C46"/>
        </w:rPr>
        <w:t xml:space="preserve">“你们的方案很好，但价格必须再降 20%。”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员工完成回答后，AI 从需求挖掘、价值塑造和成交推进三个维度即时反馈。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能力评分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需求挖掘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70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价值塑造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55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成交推进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60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改进建议：先追问降价背后的审批标准，再量化方案对新人首单周期的影响。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原收入模型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20 万元课程 · 一次成交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＋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扩展收入模型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AI 训练系统月费 + 年度顾问服务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08 · Technology architecture</w:t>
      </w:r>
    </w:p>
    <w:p>
      <w:pPr>
        <w:pStyle w:val="Heading2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不必训练大模型，需要的是“知识、Agent、CRM、自动化”的组合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技术路线应服务业务闭环：让数据进得来、知识找得到、动作推得动、结果看得见。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LAYER 01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客户触点层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网站 / 小程序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企业微信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直播 / 公众号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销售顾问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LAYER 02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AI Agent 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获客 Agent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销售 Agent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内容 Agent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陪练 / 客服 Agent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LAYER 03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知识与模型层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大语言模型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RAG 检索增强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向量数据库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评测与安全规则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LAYER 04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业务数据层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CRM / SCRM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课程与案例库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对话与行为数据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订单 / 交付 / 复购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连接层：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通过 API、Webhook 与工作流自动化，把 AI、CRM、企业微信、直播、支付和学习系统连接起来。</w:t>
      </w:r>
    </w:p>
    <w:tbl>
      <w:tblPr>
        <w:tblW w:type="pct" w:w="100%"/>
        <w:tblBorders>
          <w:top w:val="single" w:color="CFCBBE" w:sz="4"/>
          <w:left w:val="single" w:color="CFCBBE" w:sz="4"/>
          <w:bottom w:val="single" w:color="CFCBBE" w:sz="4"/>
          <w:right w:val="single" w:color="CFCBBE" w:sz="4"/>
          <w:insideH w:val="single" w:color="DEDACF" w:sz="2"/>
          <w:insideV w:val="single" w:color="DEDACF" w:sz="2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3%"/>
            <w:shd w:fill="F0EEE6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/>
                <w:bCs/>
                <w:sz w:val="19"/>
                <w:szCs w:val="19"/>
              </w:rPr>
              <w:t xml:space="preserve">能力</w:t>
            </w:r>
          </w:p>
        </w:tc>
        <w:tc>
          <w:tcPr>
            <w:tcW w:type="pct" w:w="33%"/>
            <w:shd w:fill="F0EEE6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/>
                <w:bCs/>
                <w:sz w:val="19"/>
                <w:szCs w:val="19"/>
              </w:rPr>
              <w:t xml:space="preserve">核心作用</w:t>
            </w:r>
          </w:p>
        </w:tc>
        <w:tc>
          <w:tcPr>
            <w:tcW w:type="pct" w:w="33%"/>
            <w:shd w:fill="F0EEE6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/>
                <w:bCs/>
                <w:sz w:val="19"/>
                <w:szCs w:val="19"/>
              </w:rPr>
              <w:t xml:space="preserve">起步方式</w:t>
            </w:r>
          </w:p>
        </w:tc>
      </w:tr>
      <w:tr>
        <w:trPr>
          <w:tblHeader w:val="false"/>
        </w:trPr>
        <w:tc>
          <w:tcPr>
            <w:tcW w:type="pct" w:w="33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大语言模型</w:t>
            </w:r>
          </w:p>
        </w:tc>
        <w:tc>
          <w:tcPr>
            <w:tcW w:type="pct" w:w="33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内容生成、客户分析、销售对话、总结与评分</w:t>
            </w:r>
          </w:p>
        </w:tc>
        <w:tc>
          <w:tcPr>
            <w:tcW w:type="pct" w:w="33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优先调用成熟模型服务，按效果、成本与合规要求选择，不自研底座模型。</w:t>
            </w:r>
          </w:p>
        </w:tc>
      </w:tr>
      <w:tr>
        <w:trPr>
          <w:tblHeader w:val="false"/>
        </w:trPr>
        <w:tc>
          <w:tcPr>
            <w:tcW w:type="pct" w:w="33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RAG 知识库</w:t>
            </w:r>
          </w:p>
        </w:tc>
        <w:tc>
          <w:tcPr>
            <w:tcW w:type="pct" w:w="33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让 AI 基于课程资料、案例、话术与 FAQ 回答</w:t>
            </w:r>
          </w:p>
        </w:tc>
        <w:tc>
          <w:tcPr>
            <w:tcW w:type="pct" w:w="33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先清洗高频、准确、可授权的资料，再做检索、引用与答案评测。</w:t>
            </w:r>
          </w:p>
        </w:tc>
      </w:tr>
      <w:tr>
        <w:trPr>
          <w:tblHeader w:val="false"/>
        </w:trPr>
        <w:tc>
          <w:tcPr>
            <w:tcW w:type="pct" w:w="33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AI Agent</w:t>
            </w:r>
          </w:p>
        </w:tc>
        <w:tc>
          <w:tcPr>
            <w:tcW w:type="pct" w:w="33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按规则调用工具，完成识别、诊断、推荐与任务流转</w:t>
            </w:r>
          </w:p>
        </w:tc>
        <w:tc>
          <w:tcPr>
            <w:tcW w:type="pct" w:w="33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从单一场景开始，关键动作设置人工复核，不追求一开始全自动。</w:t>
            </w:r>
          </w:p>
        </w:tc>
      </w:tr>
      <w:tr>
        <w:trPr>
          <w:tblHeader w:val="false"/>
        </w:trPr>
        <w:tc>
          <w:tcPr>
            <w:tcW w:type="pct" w:w="33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CRM / SCRM</w:t>
            </w:r>
          </w:p>
        </w:tc>
        <w:tc>
          <w:tcPr>
            <w:tcW w:type="pct" w:w="33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统一客户、商机、触点、任务与结果数据</w:t>
            </w:r>
          </w:p>
        </w:tc>
        <w:tc>
          <w:tcPr>
            <w:tcW w:type="pct" w:w="33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先定义字段、阶段与负责人，再接 AI；避免“先上 AI、后补数据”。</w:t>
            </w:r>
          </w:p>
        </w:tc>
      </w:tr>
      <w:tr>
        <w:trPr>
          <w:tblHeader w:val="false"/>
        </w:trPr>
        <w:tc>
          <w:tcPr>
            <w:tcW w:type="pct" w:w="33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自动化工作流</w:t>
            </w:r>
          </w:p>
        </w:tc>
        <w:tc>
          <w:tcPr>
            <w:tcW w:type="pct" w:w="33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连接各系统并触发分配、提醒、内容与回访</w:t>
            </w:r>
          </w:p>
        </w:tc>
        <w:tc>
          <w:tcPr>
            <w:tcW w:type="pct" w:w="33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围绕一个可量化流程搭建，例如“直播线索 → 分级 → 预约”。</w:t>
            </w:r>
          </w:p>
        </w:tc>
      </w:tr>
    </w:tbl>
    <w:p>
      <w:pPr>
        <w:spacing w:after="140"/>
      </w:pP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09 · Implementation roadmap</w:t>
      </w:r>
    </w:p>
    <w:p>
      <w:pPr>
        <w:pStyle w:val="Heading2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按 ROI 排序：先提升销售人效，再建立流量池，最后产品化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不要一次性“全面 AI 化”。每一阶段都要有业务负责人、明确指标和可停止的试点边界。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0—2 个月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AI 销售助理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最快验证价值：统一问诊、跟进摘要、话术建议与 CRM 更新。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课程与案例知识库 MVP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销售对话总结与分级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高意向客户人工接管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看板：响应、预约、转化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3—6 个月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企业客户 AI 雷达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建立自己的需求信号与客户数据资产，逐步降低对微信群的依赖。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企业画像与信号规则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线索评分与自动分配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行业化内容培育序列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看板：有效线索与 CAC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6—12 个月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AI 培训产品化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把课程知识嵌入日常工作，形成持续训练、反馈和订阅收入。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岗位陪练与能力评分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管理者学习数据看板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课程 + 软件 + 顾问套餐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看板：活跃、续费与 LTV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预算与产能数字应作为试点假设，而不是承诺。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原分析中的“投入 5—10 万元”“单个销售月维护量由 100 提升至 500”等目标，需根据客单价、数据基础、合规要求和团队执行力在小范围试点中验证。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10 · Strategic upgrade</w:t>
      </w:r>
    </w:p>
    <w:p>
      <w:pPr>
        <w:pStyle w:val="Heading2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最终目标：从课程代理商，升级为企业 AI 学习与增长平台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代理商只有在掌握客户数据、经营过程与持续交付能力后，才能减少被上下游替代的风险。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当前结构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中间代理被两端挤压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上游拥有课程 IP，下游拥有采购选择；单纯依靠信息差与销售关系，护城河会越来越窄。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品牌课程方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→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销售代理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←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企业客户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01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企业学习数据平台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知道谁学了什么、哪里薄弱、怎样改进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02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客户经营平台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掌握需求信号、决策链、互动与复购节点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03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培训交付平台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课程、陪练、测评和顾问形成持续服务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01 · 数据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更多真实互动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客户与学习行为持续沉淀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02 · 洞察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更准需求判断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画像、分层和推荐持续优化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03 · 体验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更优方案与交付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个性化内容和训练提高效果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04 · 增长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更高转化与复购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收入再投入数据与产品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管理层行动建议</w:t>
      </w:r>
    </w:p>
    <w:p>
      <w:pPr>
        <w:pStyle w:val="Heading2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从一个闭环开始，不从一堆工具开始。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最现实的第一步，是选择一个高频且可量化的流程——例如“直播后高意向线索预约”——在 6 至 8 周内打通数据、AI 与人工接管，并用真实转化结果决定下一轮投入。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/>
          <w:iCs/>
          <w:strike w:val="false"/>
        </w:rPr>
        <w:t xml:space="preserve">1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先统一 CRM 字段与销售阶段，再接入 AI。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/>
          <w:iCs/>
          <w:strike w:val="false"/>
        </w:rPr>
        <w:t xml:space="preserve">2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先做销售副驾，关键动作由人工复核，再逐步开放自动执行。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/>
          <w:iCs/>
          <w:strike w:val="false"/>
        </w:rPr>
        <w:t xml:space="preserve">3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公开数据采集、企业微信触达与客户信息处理要经过合规审核。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/>
          <w:iCs/>
          <w:strike w:val="false"/>
        </w:rPr>
        <w:t xml:space="preserve">4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每个项目只绑定 1—2 个核心指标，持续做效果评测。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企业培训代理公司的 AI 转型路径 · 可视化分析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内容依据原始业务分析重组；概率、预算、利润率与产能数字均为方法示例，不构成收益承诺。</w:t>
      </w:r>
    </w:p>
    <w:p>
      <w:pPr>
        <w:pBdr>
          <w:top w:val="single" w:color="D8D4C8" w:sz="4" w:space="10"/>
        </w:pBdr>
        <w:spacing w:after="80" w:before="260"/>
      </w:pPr>
      <w:r>
        <w:rPr>
          <w:rFonts w:ascii="Aptos" w:cs="Aptos" w:eastAsia="Microsoft YaHei" w:hAnsi="Aptos"/>
          <w:b/>
          <w:bCs/>
          <w:sz w:val="18"/>
          <w:szCs w:val="18"/>
        </w:rPr>
        <w:t xml:space="preserve">来源：</w:t>
      </w:r>
      <w:hyperlink w:history="1" r:id="rIdjaajapy6iuqlcbv5r6eqt">
        <w:r>
          <w:rPr>
            <w:rFonts w:ascii="Aptos" w:cs="Aptos" w:eastAsia="Microsoft YaHei" w:hAnsi="Aptos"/>
            <w:color w:val="2F6688"/>
            <w:sz w:val="18"/>
            <w:szCs w:val="18"/>
            <w:u w:val="single"/>
          </w:rPr>
          <w:t xml:space="preserve">https://cavno.org/working/training/ai-training-agency-transformation/</w:t>
        </w:r>
      </w:hyperlink>
    </w:p>
    <w:sectPr>
      <w:footerReference w:type="default" r:id="rId7"/>
      <w:pgSz w:w="11906" w:h="16838" w:orient="portrait"/>
      <w:pgMar w:top="1134" w:right="1021" w:bottom="1191" w:left="1021" w:header="454" w:footer="454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ptos" w:cs="Aptos" w:eastAsia="Microsoft YaHei" w:hAnsi="Aptos"/>
        <w:color w:val="89857C"/>
        <w:sz w:val="16"/>
        <w:szCs w:val="16"/>
      </w:rPr>
      <w:t xml:space="preserve">企业培训代理公司的 AI 转型路径  ·  </w:t>
    </w:r>
    <w:r>
      <w:rPr>
        <w:rFonts w:ascii="Aptos" w:cs="Aptos" w:eastAsia="Microsoft YaHei" w:hAnsi="Aptos"/>
        <w:color w:val="89857C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20" w:hanging="300"/>
      </w:pPr>
    </w:lvl>
    <w:lvl w:ilvl="1" w15:tentative="1">
      <w:start w:val="1"/>
      <w:numFmt w:val="bullet"/>
      <w:lvlText w:val="◦"/>
      <w:lvlJc w:val="left"/>
      <w:pPr>
        <w:ind w:left="980" w:hanging="300"/>
      </w:pPr>
    </w:lvl>
    <w:lvl w:ilvl="2" w15:tentative="1">
      <w:start w:val="1"/>
      <w:numFmt w:val="bullet"/>
      <w:lvlText w:val="▪"/>
      <w:lvlJc w:val="left"/>
      <w:pPr>
        <w:ind w:left="1340" w:hanging="300"/>
      </w:pPr>
    </w:lvl>
    <w:lvl w:ilvl="3" w15:tentative="1">
      <w:start w:val="1"/>
      <w:numFmt w:val="bullet"/>
      <w:lvlText w:val="–"/>
      <w:lvlJc w:val="left"/>
      <w:pPr>
        <w:ind w:left="170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80" w:hanging="360"/>
      </w:pPr>
    </w:lvl>
    <w:lvl w:ilvl="1" w15:tentative="1">
      <w:start w:val="1"/>
      <w:numFmt w:val="decimal"/>
      <w:lvlText w:val="%2."/>
      <w:lvlJc w:val="left"/>
      <w:pPr>
        <w:ind w:left="1040" w:hanging="360"/>
      </w:pPr>
    </w:lvl>
    <w:lvl w:ilvl="2" w15:tentative="1">
      <w:start w:val="1"/>
      <w:numFmt w:val="decimal"/>
      <w:lvlText w:val="%3."/>
      <w:lvlJc w:val="left"/>
      <w:pPr>
        <w:ind w:left="1400" w:hanging="360"/>
      </w:pPr>
    </w:lvl>
    <w:lvl w:ilvl="3" w15:tentative="1">
      <w:start w:val="1"/>
      <w:numFmt w:val="decimal"/>
      <w:lvlText w:val="%4."/>
      <w:lvlJc w:val="left"/>
      <w:pPr>
        <w:ind w:left="176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cs="Aptos" w:eastAsia="Microsoft YaHei" w:hAnsi="Aptos"/>
        <w:color w:val="25231F"/>
        <w:sz w:val="22"/>
        <w:szCs w:val="22"/>
      </w:rPr>
    </w:rPrDefault>
    <w:pPrDefault>
      <w:pPr>
        <w:spacing w:after="140" w:line="36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keepNext/>
      <w:spacing w:after="180" w:before="260"/>
    </w:pPr>
    <w:rPr>
      <w:rFonts w:ascii="Aptos" w:cs="Aptos" w:eastAsia="Microsoft YaHei" w:hAnsi="Aptos"/>
      <w:b/>
      <w:bCs/>
      <w:color w:val="171612"/>
      <w:sz w:val="34"/>
      <w:szCs w:val="34"/>
    </w:rPr>
  </w:style>
  <w:style w:type="paragraph" w:styleId="Heading2">
    <w:name w:val="Heading 2"/>
    <w:basedOn w:val="Normal"/>
    <w:next w:val="Normal"/>
    <w:qFormat/>
    <w:pPr>
      <w:keepNext/>
      <w:spacing w:after="140" w:before="240"/>
    </w:pPr>
    <w:rPr>
      <w:rFonts w:ascii="Aptos" w:cs="Aptos" w:eastAsia="Microsoft YaHei" w:hAnsi="Aptos"/>
      <w:b/>
      <w:bCs/>
      <w:color w:val="26231E"/>
      <w:sz w:val="29"/>
      <w:szCs w:val="29"/>
    </w:rPr>
  </w:style>
  <w:style w:type="paragraph" w:styleId="Heading3">
    <w:name w:val="Heading 3"/>
    <w:basedOn w:val="Normal"/>
    <w:next w:val="Normal"/>
    <w:qFormat/>
    <w:pPr>
      <w:keepNext/>
      <w:spacing w:after="110" w:before="200"/>
    </w:pPr>
    <w:rPr>
      <w:rFonts w:ascii="Aptos" w:cs="Aptos" w:eastAsia="Microsoft YaHei" w:hAnsi="Aptos"/>
      <w:b/>
      <w:bCs/>
      <w:color w:val="342F28"/>
      <w:sz w:val="25"/>
      <w:szCs w:val="25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CavnoCode">
    <w:name w:val="Cavno Code"/>
    <w:basedOn w:val="Normal"/>
    <w:pPr>
      <w:shd w:fill="F3F1EA" w:color="auto" w:val="clear"/>
      <w:spacing w:after="160" w:before="100" w:line="300"/>
      <w:ind w:left="220" w:right="220"/>
    </w:pPr>
    <w:rPr>
      <w:rFonts w:ascii="Consolas" w:cs="Consolas" w:eastAsia="Microsoft YaHei" w:hAnsi="Consolas"/>
      <w:color w:val="2C2A26"/>
      <w:sz w:val="18"/>
      <w:szCs w:val="18"/>
    </w:rPr>
  </w:style>
  <w:style w:type="paragraph" w:styleId="CavnoCaption">
    <w:name w:val="Cavno Caption"/>
    <w:basedOn w:val="Normal"/>
    <w:pPr>
      <w:spacing w:after="160"/>
    </w:pPr>
    <w:rPr>
      <w:rFonts w:ascii="Aptos" w:cs="Aptos" w:eastAsia="Microsoft YaHei" w:hAnsi="Aptos"/>
      <w:i/>
      <w:iCs/>
      <w:color w:val="6D6A63"/>
      <w:sz w:val="18"/>
      <w:szCs w:val="1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nprtj-lb0iy1yq_wl-5ic" Type="http://schemas.openxmlformats.org/officeDocument/2006/relationships/hyperlink" Target="http://127.0.0.1:5509/working/training/" TargetMode="External"/><Relationship Id="rIdam0pmj-xfxzfolm2_oa32" Type="http://schemas.openxmlformats.org/officeDocument/2006/relationships/hyperlink" Target="http://127.0.0.1:5509/working/training/ai-training-agency-transformation/#training-main" TargetMode="External"/><Relationship Id="rIdjaajapy6iuqlcbv5r6eqt" Type="http://schemas.openxmlformats.org/officeDocument/2006/relationships/hyperlink" Target="https://cavno.org/working/training/ai-training-agency-transformation/" TargetMode="External"/><Relationship Id="rId8" Type="http://schemas.openxmlformats.org/officeDocument/2006/relationships/image" Target="media/fd985c09bc655f10238313e9a61be2b805ba999e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企业培训代理公司的 AI 转型路径</dc:title>
  <dc:subject>面向企业培训课程代理商，从客户识别、销售转化、私域经营、直播运营到 AI 陪练产品化，构建数据贯通、人机协同的持续增长体系。</dc:subject>
  <dc:creator>Cavno</dc:creator>
  <cp:keywords>企业培训, AI 转型, 业务增长</cp:keywords>
  <dc:description>面向企业培训课程代理商，从客户识别、销售转化、私域经营、直播运营到 AI 陪练产品化，构建数据贯通、人机协同的持续增长体系。</dc:description>
  <cp:lastModifiedBy>Un-named</cp:lastModifiedBy>
  <cp:revision>1</cp:revision>
  <dcterms:created xsi:type="dcterms:W3CDTF">2026-09-23T19:26:56.467Z</dcterms:created>
  <dcterms:modified xsi:type="dcterms:W3CDTF">2026-09-23T19:26:56.467Z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