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36"/>
        </w:rPr>
        <w:t>矿脉、镣铐与手术刀——古希腊、中世纪、近代哲学比较</w:t>
      </w:r>
    </w:p>
    <w:p/>
    <w:p>
      <w:pPr>
        <w:spacing w:line="360" w:lineRule="auto"/>
        <w:ind w:firstLine="480"/>
      </w:pPr>
      <w:r>
        <w:rPr>
          <w:rFonts w:ascii="SimSun" w:hAnsi="SimSun" w:eastAsia="SimSun"/>
          <w:b w:val="0"/>
        </w:rPr>
        <w:t>这个问题换了性质：前面是给定材料内的结构化，现在要我脱离讲义、以自己的知识与判断独立作答。那我先交代结论里最大的两处“离开讲义”之处：第一，中世纪必须从“传动轴”恢复为完整席位——它不是两次行程之间的焊接件，而是第三种自成一体的哲学形态，且是逻辑学的第二个黄金期；第二，三代疑难可以做出一个讲义里没有的类型学：希腊的疑难是发现型悖论，中世纪的是给定型调和难题，近代的是自造型鸿沟——疑难的“产地”不同，是三代哲学最深的分野。先给总表，再逐层展开。</w:t>
      </w:r>
    </w:p>
    <w:p>
      <w:pPr>
        <w:jc w:val="center"/>
      </w:pPr>
      <w:r>
        <w:rPr>
          <w:rFonts w:ascii="SimHei" w:hAnsi="SimHei" w:eastAsia="SimHei"/>
          <w:b/>
          <w:sz w:val="28"/>
        </w:rPr>
        <w:t>三代哲学比较总表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rPr>
              <w:t>维度</w:t>
            </w:r>
          </w:p>
        </w:tc>
        <w:tc>
          <w:tcPr>
            <w:tcW w:type="dxa" w:w="2160"/>
          </w:tcPr>
          <w:p>
            <w:pPr>
              <w:jc w:val="center"/>
            </w:pPr>
            <w:r>
              <w:rPr>
                <w:rFonts w:ascii="SimHei" w:hAnsi="SimHei" w:eastAsia="SimHei"/>
                <w:b/>
              </w:rPr>
              <w:t>古希腊</w:t>
            </w:r>
          </w:p>
        </w:tc>
        <w:tc>
          <w:tcPr>
            <w:tcW w:type="dxa" w:w="2160"/>
          </w:tcPr>
          <w:p>
            <w:pPr>
              <w:jc w:val="center"/>
            </w:pPr>
            <w:r>
              <w:rPr>
                <w:rFonts w:ascii="SimHei" w:hAnsi="SimHei" w:eastAsia="SimHei"/>
                <w:b/>
              </w:rPr>
              <w:t>中世纪</w:t>
            </w:r>
          </w:p>
        </w:tc>
        <w:tc>
          <w:tcPr>
            <w:tcW w:type="dxa" w:w="2160"/>
          </w:tcPr>
          <w:p>
            <w:pPr>
              <w:jc w:val="center"/>
            </w:pPr>
            <w:r>
              <w:rPr>
                <w:rFonts w:ascii="SimHei" w:hAnsi="SimHei" w:eastAsia="SimHei"/>
                <w:b/>
              </w:rPr>
              <w:t>近代</w:t>
            </w:r>
          </w:p>
        </w:tc>
      </w:tr>
      <w:tr>
        <w:tc>
          <w:tcPr>
            <w:tcW w:type="dxa" w:w="2160"/>
          </w:tcPr>
          <w:p>
            <w:r>
              <w:rPr>
                <w:rFonts w:ascii="SimSun" w:hAnsi="SimSun" w:eastAsia="SimSun"/>
                <w:sz w:val="22"/>
              </w:rPr>
              <w:t>主导问题域</w:t>
            </w:r>
          </w:p>
        </w:tc>
        <w:tc>
          <w:tcPr>
            <w:tcW w:type="dxa" w:w="2160"/>
          </w:tcPr>
          <w:p>
            <w:r>
              <w:rPr>
                <w:rFonts w:ascii="SimSun" w:hAnsi="SimSun" w:eastAsia="SimSun"/>
                <w:sz w:val="22"/>
              </w:rPr>
              <w:t>存在与宇宙：什么真正存在、变化何以可能</w:t>
            </w:r>
          </w:p>
        </w:tc>
        <w:tc>
          <w:tcPr>
            <w:tcW w:type="dxa" w:w="2160"/>
          </w:tcPr>
          <w:p>
            <w:r>
              <w:rPr>
                <w:rFonts w:ascii="SimSun" w:hAnsi="SimSun" w:eastAsia="SimSun"/>
                <w:sz w:val="22"/>
              </w:rPr>
              <w:t>有限理智与无限者的界面：如何谈论、思考神</w:t>
            </w:r>
          </w:p>
        </w:tc>
        <w:tc>
          <w:tcPr>
            <w:tcW w:type="dxa" w:w="2160"/>
          </w:tcPr>
          <w:p>
            <w:r>
              <w:rPr>
                <w:rFonts w:ascii="SimSun" w:hAnsi="SimSun" w:eastAsia="SimSun"/>
                <w:sz w:val="22"/>
              </w:rPr>
              <w:t>认识与主体：知识何以可能、我是什么</w:t>
            </w:r>
          </w:p>
        </w:tc>
      </w:tr>
      <w:tr>
        <w:tc>
          <w:tcPr>
            <w:tcW w:type="dxa" w:w="2160"/>
          </w:tcPr>
          <w:p>
            <w:r>
              <w:rPr>
                <w:rFonts w:ascii="SimSun" w:hAnsi="SimSun" w:eastAsia="SimSun"/>
                <w:sz w:val="22"/>
              </w:rPr>
              <w:t>确定性担保</w:t>
            </w:r>
          </w:p>
        </w:tc>
        <w:tc>
          <w:tcPr>
            <w:tcW w:type="dxa" w:w="2160"/>
          </w:tcPr>
          <w:p>
            <w:r>
              <w:rPr>
                <w:rFonts w:ascii="SimSun" w:hAnsi="SimSun" w:eastAsia="SimSun"/>
                <w:sz w:val="22"/>
              </w:rPr>
              <w:t>宇宙自身可知（逻各斯内在于世界，心智与存在同质）</w:t>
            </w:r>
          </w:p>
        </w:tc>
        <w:tc>
          <w:tcPr>
            <w:tcW w:type="dxa" w:w="2160"/>
          </w:tcPr>
          <w:p>
            <w:r>
              <w:rPr>
                <w:rFonts w:ascii="SimSun" w:hAnsi="SimSun" w:eastAsia="SimSun"/>
                <w:sz w:val="22"/>
              </w:rPr>
              <w:t>超越的神+双重权威（启示与亚里士多德）</w:t>
            </w:r>
          </w:p>
        </w:tc>
        <w:tc>
          <w:tcPr>
            <w:tcW w:type="dxa" w:w="2160"/>
          </w:tcPr>
          <w:p>
            <w:r>
              <w:rPr>
                <w:rFonts w:ascii="SimSun" w:hAnsi="SimSun" w:eastAsia="SimSun"/>
                <w:sz w:val="22"/>
              </w:rPr>
              <w:t>主体（我思→先验形式）</w:t>
            </w:r>
          </w:p>
        </w:tc>
      </w:tr>
      <w:tr>
        <w:tc>
          <w:tcPr>
            <w:tcW w:type="dxa" w:w="2160"/>
          </w:tcPr>
          <w:p>
            <w:r>
              <w:rPr>
                <w:rFonts w:ascii="SimSun" w:hAnsi="SimSun" w:eastAsia="SimSun"/>
                <w:sz w:val="22"/>
              </w:rPr>
              <w:t>思维方式</w:t>
            </w:r>
          </w:p>
        </w:tc>
        <w:tc>
          <w:tcPr>
            <w:tcW w:type="dxa" w:w="2160"/>
          </w:tcPr>
          <w:p>
            <w:r>
              <w:rPr>
                <w:rFonts w:ascii="SimSun" w:hAnsi="SimSun" w:eastAsia="SimSun"/>
                <w:sz w:val="22"/>
              </w:rPr>
              <w:t>对象直向的思辨+辩证法</w:t>
            </w:r>
          </w:p>
        </w:tc>
        <w:tc>
          <w:tcPr>
            <w:tcW w:type="dxa" w:w="2160"/>
          </w:tcPr>
          <w:p>
            <w:r>
              <w:rPr>
                <w:rFonts w:ascii="SimSun" w:hAnsi="SimSun" w:eastAsia="SimSun"/>
                <w:sz w:val="22"/>
              </w:rPr>
              <w:t>注释—论辩建制（lectio–quaestio–disputatio），权威调和术+区分术</w:t>
            </w:r>
          </w:p>
        </w:tc>
        <w:tc>
          <w:tcPr>
            <w:tcW w:type="dxa" w:w="2160"/>
          </w:tcPr>
          <w:p>
            <w:r>
              <w:rPr>
                <w:rFonts w:ascii="SimSun" w:hAnsi="SimSun" w:eastAsia="SimSun"/>
                <w:sz w:val="22"/>
              </w:rPr>
              <w:t>第一人称方法主义：怀疑、分析、审计、批判</w:t>
            </w:r>
          </w:p>
        </w:tc>
      </w:tr>
      <w:tr>
        <w:tc>
          <w:tcPr>
            <w:tcW w:type="dxa" w:w="2160"/>
          </w:tcPr>
          <w:p>
            <w:r>
              <w:rPr>
                <w:rFonts w:ascii="SimSun" w:hAnsi="SimSun" w:eastAsia="SimSun"/>
                <w:sz w:val="22"/>
              </w:rPr>
              <w:t>范型学科</w:t>
            </w:r>
          </w:p>
        </w:tc>
        <w:tc>
          <w:tcPr>
            <w:tcW w:type="dxa" w:w="2160"/>
          </w:tcPr>
          <w:p>
            <w:r>
              <w:rPr>
                <w:rFonts w:ascii="SimSun" w:hAnsi="SimSun" w:eastAsia="SimSun"/>
                <w:sz w:val="22"/>
              </w:rPr>
              <w:t>几何与医学</w:t>
            </w:r>
          </w:p>
        </w:tc>
        <w:tc>
          <w:tcPr>
            <w:tcW w:type="dxa" w:w="2160"/>
          </w:tcPr>
          <w:p>
            <w:r>
              <w:rPr>
                <w:rFonts w:ascii="SimSun" w:hAnsi="SimSun" w:eastAsia="SimSun"/>
                <w:sz w:val="22"/>
              </w:rPr>
              <w:t>法学与经文诠释</w:t>
            </w:r>
          </w:p>
        </w:tc>
        <w:tc>
          <w:tcPr>
            <w:tcW w:type="dxa" w:w="2160"/>
          </w:tcPr>
          <w:p>
            <w:r>
              <w:rPr>
                <w:rFonts w:ascii="SimSun" w:hAnsi="SimSun" w:eastAsia="SimSun"/>
                <w:sz w:val="22"/>
              </w:rPr>
              <w:t>数学物理+簿记/法庭证据</w:t>
            </w:r>
          </w:p>
        </w:tc>
      </w:tr>
      <w:tr>
        <w:tc>
          <w:tcPr>
            <w:tcW w:type="dxa" w:w="2160"/>
          </w:tcPr>
          <w:p>
            <w:r>
              <w:rPr>
                <w:rFonts w:ascii="SimSun" w:hAnsi="SimSun" w:eastAsia="SimSun"/>
                <w:sz w:val="22"/>
              </w:rPr>
              <w:t>建制与文体</w:t>
            </w:r>
          </w:p>
        </w:tc>
        <w:tc>
          <w:tcPr>
            <w:tcW w:type="dxa" w:w="2160"/>
          </w:tcPr>
          <w:p>
            <w:r>
              <w:rPr>
                <w:rFonts w:ascii="SimSun" w:hAnsi="SimSun" w:eastAsia="SimSun"/>
                <w:sz w:val="22"/>
              </w:rPr>
              <w:t>广场与学园→对话录</w:t>
            </w:r>
          </w:p>
        </w:tc>
        <w:tc>
          <w:tcPr>
            <w:tcW w:type="dxa" w:w="2160"/>
          </w:tcPr>
          <w:p>
            <w:r>
              <w:rPr>
                <w:rFonts w:ascii="SimSun" w:hAnsi="SimSun" w:eastAsia="SimSun"/>
                <w:sz w:val="22"/>
              </w:rPr>
              <w:t>修道院与大学→大全、评注、论辩集</w:t>
            </w:r>
          </w:p>
        </w:tc>
        <w:tc>
          <w:tcPr>
            <w:tcW w:type="dxa" w:w="2160"/>
          </w:tcPr>
          <w:p>
            <w:r>
              <w:rPr>
                <w:rFonts w:ascii="SimSun" w:hAnsi="SimSun" w:eastAsia="SimSun"/>
                <w:sz w:val="22"/>
              </w:rPr>
              <w:t>书房与学会/期刊→沉思录、论文、通信</w:t>
            </w:r>
          </w:p>
        </w:tc>
      </w:tr>
      <w:tr>
        <w:tc>
          <w:tcPr>
            <w:tcW w:type="dxa" w:w="2160"/>
          </w:tcPr>
          <w:p>
            <w:r>
              <w:rPr>
                <w:rFonts w:ascii="SimSun" w:hAnsi="SimSun" w:eastAsia="SimSun"/>
                <w:sz w:val="22"/>
              </w:rPr>
              <w:t>疑难形态</w:t>
            </w:r>
          </w:p>
        </w:tc>
        <w:tc>
          <w:tcPr>
            <w:tcW w:type="dxa" w:w="2160"/>
          </w:tcPr>
          <w:p>
            <w:r>
              <w:rPr>
                <w:rFonts w:ascii="SimSun" w:hAnsi="SimSun" w:eastAsia="SimSun"/>
                <w:sz w:val="22"/>
              </w:rPr>
              <w:t>悖论型（在对象中被发现）</w:t>
            </w:r>
          </w:p>
        </w:tc>
        <w:tc>
          <w:tcPr>
            <w:tcW w:type="dxa" w:w="2160"/>
          </w:tcPr>
          <w:p>
            <w:r>
              <w:rPr>
                <w:rFonts w:ascii="SimSun" w:hAnsi="SimSun" w:eastAsia="SimSun"/>
                <w:sz w:val="22"/>
              </w:rPr>
              <w:t>相容性型（由双重硬约束给定）</w:t>
            </w:r>
          </w:p>
        </w:tc>
        <w:tc>
          <w:tcPr>
            <w:tcW w:type="dxa" w:w="2160"/>
          </w:tcPr>
          <w:p>
            <w:r>
              <w:rPr>
                <w:rFonts w:ascii="SimSun" w:hAnsi="SimSun" w:eastAsia="SimSun"/>
                <w:sz w:val="22"/>
              </w:rPr>
              <w:t>鸿沟型（由方法自身制造）</w:t>
            </w:r>
          </w:p>
        </w:tc>
      </w:tr>
      <w:tr>
        <w:tc>
          <w:tcPr>
            <w:tcW w:type="dxa" w:w="2160"/>
          </w:tcPr>
          <w:p>
            <w:r>
              <w:rPr>
                <w:rFonts w:ascii="SimSun" w:hAnsi="SimSun" w:eastAsia="SimSun"/>
                <w:sz w:val="22"/>
              </w:rPr>
              <w:t>终结方式</w:t>
            </w:r>
          </w:p>
        </w:tc>
        <w:tc>
          <w:tcPr>
            <w:tcW w:type="dxa" w:w="2160"/>
          </w:tcPr>
          <w:p>
            <w:r>
              <w:rPr>
                <w:rFonts w:ascii="SimSun" w:hAnsi="SimSun" w:eastAsia="SimSun"/>
                <w:sz w:val="22"/>
              </w:rPr>
              <w:t>悬置而让位</w:t>
            </w:r>
          </w:p>
        </w:tc>
        <w:tc>
          <w:tcPr>
            <w:tcW w:type="dxa" w:w="2160"/>
          </w:tcPr>
          <w:p>
            <w:r>
              <w:rPr>
                <w:rFonts w:ascii="SimSun" w:hAnsi="SimSun" w:eastAsia="SimSun"/>
                <w:sz w:val="22"/>
              </w:rPr>
              <w:t>硬约束被吊销，调和术失去题面</w:t>
            </w:r>
          </w:p>
        </w:tc>
        <w:tc>
          <w:tcPr>
            <w:tcW w:type="dxa" w:w="2160"/>
          </w:tcPr>
          <w:p>
            <w:r>
              <w:rPr>
                <w:rFonts w:ascii="SimSun" w:hAnsi="SimSun" w:eastAsia="SimSun"/>
                <w:sz w:val="22"/>
              </w:rPr>
              <w:t>划界而成年</w:t>
            </w:r>
          </w:p>
        </w:tc>
      </w:tr>
    </w:tbl>
    <w:p/>
    <w:p>
      <w:pPr>
        <w:spacing w:before="240" w:after="120"/>
      </w:pPr>
      <w:r>
        <w:rPr>
          <w:rFonts w:ascii="SimHei" w:hAnsi="SimHei" w:eastAsia="SimHei"/>
          <w:b/>
          <w:sz w:val="28"/>
        </w:rPr>
        <w:t>一、问题域：三种不同的“元问题”</w:t>
      </w:r>
    </w:p>
    <w:p>
      <w:pPr>
        <w:spacing w:line="360" w:lineRule="auto"/>
        <w:ind w:firstLine="480"/>
      </w:pPr>
      <w:r>
        <w:rPr>
          <w:rFonts w:ascii="SimSun" w:hAnsi="SimSun" w:eastAsia="SimSun"/>
          <w:b w:val="0"/>
        </w:rPr>
        <w:t>希腊的元问题是“什么真正存在”——变化、一与多、无穷是它的原生疑难，伦理是下游。中世纪的元问题，讲义把它一笔带过，我的判断是：它有一个高度统一且极难的问题域——有限理智如何谈论并思考无限者。神性属性的语义学（说“神是善的”时，“善”字与说人善是同义、歧义还是类比？）、共相、个体化原理、永恒与时间、全能与逻辑的关系、预知与自由——全部悬挂在这一个界面上。这实质上是一个语义学与模态问题域，比希腊的存在论问题域更“技术”。近代的元问题才是“知识何以可能”，主体第一次成为哲学的地基而非题目之一。三代重心的迁移方向恒定：从对象，经界面，到主体——每一次都是上一代担保结构崩塌后的被迫内撤。</w:t>
      </w:r>
    </w:p>
    <w:p>
      <w:pPr>
        <w:spacing w:before="240" w:after="120"/>
      </w:pPr>
      <w:r>
        <w:rPr>
          <w:rFonts w:ascii="SimHei" w:hAnsi="SimHei" w:eastAsia="SimHei"/>
          <w:b/>
          <w:sz w:val="28"/>
        </w:rPr>
        <w:t>二、思维方式：三种建制生产三种头脑</w:t>
      </w:r>
    </w:p>
    <w:p>
      <w:pPr>
        <w:spacing w:line="360" w:lineRule="auto"/>
        <w:ind w:firstLine="480"/>
      </w:pPr>
      <w:r>
        <w:rPr>
          <w:rFonts w:ascii="SimSun" w:hAnsi="SimSun" w:eastAsia="SimSun"/>
          <w:b w:val="0"/>
        </w:rPr>
        <w:t>思维方式的差异，与其说是气质，不如说是建制的产物。希腊哲学生长在广场与学园，基本动作是面对面的辩证：归谬、二分、下定义——所以文体是对话录，几何学是它的证明理想。中世纪哲学生长在大学（这本身就是中世纪的发明）里，基本动作是注释与答辩：先诵读权威文本，再提出问题（quaestio），正反意见并陈，然后以“区分”裁决——所以文体是大全与评注，范型是法学与解经。这套建制逼出了人类史上最精细的区分术：类比学说、形式区分、de re 与 de dicto 的模态之分、指代理论（suppositio）——请注意，指代理论对“一个词在句中指什么”的分层管理，已经在预演塔尔斯基式的语义警觉；而中世纪的 insolubilia 文献（布里丹、布拉德沃丁）对说谎者悖论的系统研究，是希腊发现与现代定理化之间缺失的那一章——这直接接上我们之前的四律—自指线：说谎者的三代际遇是“希腊发现之，中世纪建档之，现代定理化之”。近代哲学则搬进书房与学会，基本动作是第一人称的方法操作：怀疑是筛子、分析是解剖、批判是审计——文体变成沉思录与论文，范型是数学物理，外加一个常被忽略的：簿记与法庭证据学（培根的排除表、或然性的兴起），知识开始被当作“需要核账的资产”。</w:t>
      </w:r>
    </w:p>
    <w:p>
      <w:pPr>
        <w:spacing w:before="240" w:after="120"/>
      </w:pPr>
      <w:r>
        <w:rPr>
          <w:rFonts w:ascii="SimHei" w:hAnsi="SimHei" w:eastAsia="SimHei"/>
          <w:b/>
          <w:sz w:val="28"/>
        </w:rPr>
        <w:t>三、疑难的类型学：发现的、给定的、自造的</w:t>
      </w:r>
    </w:p>
    <w:p>
      <w:pPr>
        <w:spacing w:line="360" w:lineRule="auto"/>
        <w:ind w:firstLine="480"/>
      </w:pPr>
      <w:r>
        <w:rPr>
          <w:rFonts w:ascii="SimSun" w:hAnsi="SimSun" w:eastAsia="SimSun"/>
          <w:b w:val="0"/>
        </w:rPr>
        <w:t>这是我最想立住的独立判断。</w:t>
      </w:r>
    </w:p>
    <w:p>
      <w:pPr>
        <w:pStyle w:val="ListBullet"/>
        <w:spacing w:line="360" w:lineRule="auto"/>
      </w:pPr>
      <w:r>
        <w:rPr>
          <w:rFonts w:ascii="SimSun" w:hAnsi="SimSun" w:eastAsia="SimSun"/>
          <w:b w:val="0"/>
        </w:rPr>
        <w:t>希腊的疑难是“发现型”：芝诺悖论、一与多、变化难题——它们像矿脉一样是在对象中撞见的，谁来追问都会撞上；疑难是公共的、广场上的，而且是生产性的（亚里士多德说哲学始于惊异，惊异的技术形态就是 aporia）。</w:t>
      </w:r>
    </w:p>
    <w:p>
      <w:pPr>
        <w:pStyle w:val="ListBullet"/>
        <w:spacing w:line="360" w:lineRule="auto"/>
      </w:pPr>
      <w:r>
        <w:rPr>
          <w:rFonts w:ascii="SimSun" w:hAnsi="SimSun" w:eastAsia="SimSun"/>
          <w:b w:val="0"/>
        </w:rPr>
        <w:t>中世纪的疑难是“给定型”：它的典型题面不是“X 如何可能”，而是“X 与 Y 如何同真”——全能与逻辑、预知与自由、永恒与创世、三位一体与同一律。两个硬约束（教义不可弃、亚里士多德近乎不可弃）像镣铐一样事先钉死，全部创造力被逼向“区分”的精细化——带着镣铐的雕花，这解释了中世纪哲学为何技术密度极高而题面自由度极低。</w:t>
      </w:r>
    </w:p>
    <w:p>
      <w:pPr>
        <w:pStyle w:val="ListBullet"/>
        <w:spacing w:line="360" w:lineRule="auto"/>
      </w:pPr>
      <w:r>
        <w:rPr>
          <w:rFonts w:ascii="SimSun" w:hAnsi="SimSun" w:eastAsia="SimSun"/>
          <w:b w:val="0"/>
        </w:rPr>
        <w:t>近代的疑难是“自造型”：我愿意用一个医学词：医源性（iatrogenic）——疑难是方法自己制造的。普遍怀疑造出外部世界问题（希腊人从不担心世界是否存在）；“观念须有印象”这把尺子造出归纳问题；观念之幕造出他心问题；方法越锋利，它切开的、自己跨不过去的沟就越深。与之相随的是疑难的私有化：希腊悖论在广场上被辩论，近代疑难在火炉房里被一个人独自面对——第一人称既是近代的方法，也是近代的病灶。</w:t>
      </w:r>
    </w:p>
    <w:p>
      <w:pPr>
        <w:spacing w:before="240" w:after="120"/>
      </w:pPr>
      <w:r>
        <w:rPr>
          <w:rFonts w:ascii="SimHei" w:hAnsi="SimHei" w:eastAsia="SimHei"/>
          <w:b/>
          <w:sz w:val="28"/>
        </w:rPr>
        <w:t>四、两处对讲义框架的明确修正</w:t>
      </w:r>
    </w:p>
    <w:p>
      <w:pPr>
        <w:pStyle w:val="ListBullet"/>
        <w:spacing w:line="360" w:lineRule="auto"/>
      </w:pPr>
      <w:r>
        <w:rPr>
          <w:rFonts w:ascii="SimSun" w:hAnsi="SimSun" w:eastAsia="SimSun"/>
          <w:b w:val="0"/>
        </w:rPr>
        <w:t>其一，中世纪的完整席位。 “黑暗时代”是文艺复兴的宣传品；按当代中世纪哲学研究的共识，经院盛期到晚期是逻辑学与语义学的第二黄金期。而且中世纪不是被近代“打败”的——它是自己内部先拆掉自己的：司各脱与奥卡姆的意志主义把神的意志抬到理智之上，必然性被掏空（“神本可以另立一切”），唯名论削尽共相——世界因此变得彻底偶然，而一个彻底偶然的世界恰恰只能靠观察与实验去认识。近代科学与休谟式怀疑的种子，是经院晚期自己播下的：中世纪是近代的孵化器，不只是它的对立面。</w:t>
      </w:r>
    </w:p>
    <w:p>
      <w:pPr>
        <w:pStyle w:val="ListBullet"/>
        <w:spacing w:line="360" w:lineRule="auto"/>
      </w:pPr>
      <w:r>
        <w:rPr>
          <w:rFonts w:ascii="SimSun" w:hAnsi="SimSun" w:eastAsia="SimSun"/>
          <w:b w:val="0"/>
        </w:rPr>
        <w:t>其二，一场被讲义漏掉的静默革命：三代对“无限”的姿态翻转。 希腊人恐惧无限——apeiron 意味着未完成、无规定，是坏东西（所以亚里士多德只许潜无限）；中世纪把无限升格为完满——神是现实的无限，无限第一次成了褒义词；近代顺势把无限工具化——无限宇宙（布鲁诺）、无穷小演算（牛顿—莱布尼茨）。没有中世纪这次价值翻转，近代科学的数学工具在观念上不可能。这条线索是“问题域迁移”最漂亮的切面之一，值得单列。</w:t>
      </w:r>
    </w:p>
    <w:p>
      <w:pPr>
        <w:spacing w:before="240" w:after="120"/>
      </w:pPr>
      <w:r>
        <w:rPr>
          <w:rFonts w:ascii="SimHei" w:hAnsi="SimHei" w:eastAsia="SimHei"/>
          <w:b/>
          <w:sz w:val="28"/>
        </w:rPr>
        <w:t>五、收束</w:t>
      </w:r>
    </w:p>
    <w:p>
      <w:pPr>
        <w:spacing w:line="360" w:lineRule="auto"/>
        <w:ind w:firstLine="480"/>
      </w:pPr>
      <w:r>
        <w:rPr>
          <w:rFonts w:ascii="SimSun" w:hAnsi="SimSun" w:eastAsia="SimSun"/>
          <w:b/>
        </w:rPr>
        <w:t>若只许一句话概括三代：希腊在对象中发现悖论并试图以概念创新化解；中世纪在双重权威的硬约束下把调和术与区分术推到人类精细度的极限；近代用方法制造了自己的鸿沟，又最终学会给方法本身划界。</w:t>
      </w:r>
    </w:p>
    <w:p>
      <w:pPr>
        <w:spacing w:line="360" w:lineRule="auto"/>
        <w:ind w:firstLine="480"/>
      </w:pPr>
      <w:r>
        <w:rPr>
          <w:rFonts w:ascii="SimSun" w:hAnsi="SimSun" w:eastAsia="SimSun"/>
          <w:b w:val="0"/>
        </w:rPr>
        <w:t>三种疑难产地——矿脉、镣铐、手术刀——对应三种确定性担保——宇宙、神、主体；而把三代连成一条线的，仍是那条结构定理：每一代的担保结构，都在“自我担保”这个位置上失守，失守的形状却因各自的思维建制而完全不同。这是我脱离讲义、按自己的判断给出的图景；它与那两份概念集兼容，但在中世纪的地位、疑难的类型学、无限的价值翻转这三处，是讲义之外的增补与修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