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Progetto Chat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di progettazione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Tecnologie utilizzate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Thread / multiThread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Casi d’uso Client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Connessione al Server: avverto il server che mi sono connesso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Disconnessione Client: avverto il Server della disconnessione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Invio e Ricezione dei messaggi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Casi d’uso 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Connessione di un Client: stabilisco la connessione col Client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Disconnessione di un Client: avverto gli altri Client che uno si è disconnesso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Invio in Broadcast: invio a tutti i client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Invio mirato: invio ad un determinato client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Diagramma delle Classi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Messaggi scambiati tra client e server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server --&gt; inserisci il nome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client --&gt; "inserisce nome"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server --&gt; spiegazione di come utilizzare la chat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client --&gt; inizio della conversazione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Gruppo: Cosma, Sestini, Borgi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