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D3EA2">
      <w:pPr>
        <w:jc w:val="center"/>
      </w:pPr>
      <w:r>
        <w:rPr>
          <w:rFonts w:ascii="黑体" w:hAnsi="黑体" w:eastAsia="黑体"/>
          <w:sz w:val="32"/>
        </w:rPr>
        <w:t>《软件系统分析与设计》课程实践（一）</w:t>
      </w:r>
    </w:p>
    <w:p w14:paraId="2EAFE839">
      <w:pPr>
        <w:spacing w:before="1200"/>
        <w:jc w:val="center"/>
      </w:pPr>
      <w:r>
        <w:rPr>
          <w:rFonts w:ascii="黑体" w:hAnsi="黑体" w:eastAsia="黑体"/>
          <w:b/>
          <w:sz w:val="52"/>
        </w:rPr>
        <w:t>学术成果分享平台</w:t>
      </w:r>
    </w:p>
    <w:p w14:paraId="4C966A91">
      <w:pPr>
        <w:jc w:val="center"/>
      </w:pPr>
      <w:r>
        <w:rPr>
          <w:rFonts w:ascii="黑体" w:hAnsi="黑体" w:eastAsia="黑体"/>
          <w:sz w:val="40"/>
        </w:rPr>
        <w:t>数据源调研与数据密集型逻辑规范</w:t>
      </w:r>
    </w:p>
    <w:p w14:paraId="4DB688E2">
      <w:pPr>
        <w:spacing w:before="1600"/>
        <w:jc w:val="center"/>
      </w:pPr>
      <w:r>
        <w:rPr>
          <w:rFonts w:ascii="宋体" w:hAnsi="宋体" w:eastAsia="宋体"/>
          <w:sz w:val="24"/>
        </w:rPr>
        <w:t>版本：V1.0</w:t>
      </w:r>
      <w:r>
        <w:rPr>
          <w:rFonts w:ascii="宋体" w:hAnsi="宋体" w:eastAsia="宋体"/>
          <w:sz w:val="24"/>
        </w:rPr>
        <w:br w:type="textWrapping"/>
      </w:r>
      <w:r>
        <w:rPr>
          <w:rFonts w:ascii="宋体" w:hAnsi="宋体" w:eastAsia="宋体"/>
          <w:sz w:val="24"/>
        </w:rPr>
        <w:t>调研日期：2026年9月26日</w:t>
      </w:r>
      <w:r>
        <w:rPr>
          <w:rFonts w:ascii="宋体" w:hAnsi="宋体" w:eastAsia="宋体"/>
          <w:sz w:val="24"/>
        </w:rPr>
        <w:br w:type="textWrapping"/>
      </w:r>
      <w:r>
        <w:rPr>
          <w:rFonts w:ascii="宋体" w:hAnsi="宋体" w:eastAsia="宋体"/>
          <w:sz w:val="24"/>
        </w:rPr>
        <w:t>适用阶段：需求调研、需求建模、核心模块 SPEC 编制</w:t>
      </w:r>
    </w:p>
    <w:p w14:paraId="380EBF1F">
      <w:r>
        <w:br w:type="page"/>
      </w:r>
    </w:p>
    <w:p w14:paraId="240DEFB3">
      <w:pPr>
        <w:pStyle w:val="3"/>
      </w:pPr>
      <w:r>
        <w:t>1. 文档目的与调研范围</w:t>
      </w:r>
    </w:p>
    <w:p w14:paraId="67C01752">
      <w:r>
        <w:t>本文件服务于“学术成果分享平台”的需求调研与需求建模阶段。文件围绕论文、专利、科技奖励三类学术成果建立数据源方案，并形成能够直接进入后续系统设计与开发阶段的数据采集、字段标准化、数据清洗、重复记录识别、实体消歧、冲突处理、增量更新和检索排序规则。项目任务书要求平台能够通过公共数据库和公开网络来源获得科研人员及其学术成果，并且要求系统建立数据清洗、去重、消歧、增量更新、全文检索和统计分析能力。</w:t>
      </w:r>
    </w:p>
    <w:p w14:paraId="4E5CFB56">
      <w:r>
        <w:rPr>
          <w:rFonts w:hint="eastAsia"/>
          <w:lang w:eastAsia="zh-CN"/>
        </w:rPr>
        <w:t>本次</w:t>
      </w:r>
      <w:r>
        <w:t>调研将数据来源划分为主数据源、补充数据源和身份标识数据源。系统对每一条原始记录保存来源信息、来源记录标识、采集时间和原始内容摘要，并在规范化处理以后形成统一成果记录。系统保留各来源之间的差异信息，使后续数据更正、来源追踪和审核工作具有完整依据。</w:t>
      </w:r>
    </w:p>
    <w:p w14:paraId="1DFFBA9C">
      <w:pPr>
        <w:pStyle w:val="4"/>
      </w:pPr>
      <w:r>
        <w:t>1.1 调研对象</w:t>
      </w:r>
    </w:p>
    <w:p w14:paraId="3453224B">
      <w:pPr>
        <w:pStyle w:val="16"/>
        <w:spacing w:after="60"/>
      </w:pPr>
      <w:r>
        <w:t>论文及其作者、机构、期刊或会议、引用关系、研究主题等元数据。</w:t>
      </w:r>
    </w:p>
    <w:p w14:paraId="7438D60E">
      <w:pPr>
        <w:pStyle w:val="16"/>
        <w:spacing w:after="60"/>
      </w:pPr>
      <w:r>
        <w:t>专利及其申请号、公开号、申请人、发明人、分类号、同族、法律状态等元数据。</w:t>
      </w:r>
    </w:p>
    <w:p w14:paraId="34EFC060">
      <w:pPr>
        <w:pStyle w:val="16"/>
        <w:spacing w:after="60"/>
      </w:pPr>
      <w:r>
        <w:t>国家级、省部级和全国性学会科技奖励及其项目名称、奖项类别、等级、年度、完成单位、完成人等元数据。</w:t>
      </w:r>
    </w:p>
    <w:p w14:paraId="02B9B719">
      <w:pPr>
        <w:pStyle w:val="16"/>
        <w:spacing w:after="60"/>
      </w:pPr>
      <w:r>
        <w:t>作者身份标识和科研机构身份标识，用于作者消歧与机构消歧。</w:t>
      </w:r>
    </w:p>
    <w:p w14:paraId="430C675F">
      <w:pPr>
        <w:pStyle w:val="4"/>
      </w:pPr>
      <w:r>
        <w:t>1.2 设计原则</w:t>
      </w:r>
    </w:p>
    <w:p w14:paraId="1CCF9058">
      <w:pPr>
        <w:pStyle w:val="14"/>
        <w:spacing w:after="60"/>
      </w:pPr>
      <w:r>
        <w:t>统一标识优先原则。DOI、ORCID、ROR、专利公开号、专利申请号等标准标识具有最高匹配优先级。</w:t>
      </w:r>
    </w:p>
    <w:p w14:paraId="75D75AED">
      <w:pPr>
        <w:pStyle w:val="14"/>
        <w:spacing w:after="60"/>
      </w:pPr>
      <w:r>
        <w:t>来源可追踪原则。规范化记录需要保留来源名称、来源记录标识、原始字段值、采集时间和处理版本。</w:t>
      </w:r>
    </w:p>
    <w:p w14:paraId="78F0DE7C">
      <w:pPr>
        <w:pStyle w:val="14"/>
        <w:spacing w:after="60"/>
      </w:pPr>
      <w:r>
        <w:t>字段级冲突管理原则。系统按照字段分别选择权威来源，引用次数等来源口径不同的数据按照来源分别保存。</w:t>
      </w:r>
    </w:p>
    <w:p w14:paraId="7FDAFC31">
      <w:pPr>
        <w:pStyle w:val="14"/>
        <w:spacing w:after="60"/>
      </w:pPr>
      <w:r>
        <w:t>自动处理与人工复核分级原则。系统为确定性匹配设置自动合并阈值，为中间置信区间建立人工复核队列。</w:t>
      </w:r>
    </w:p>
    <w:p w14:paraId="41EA3A75">
      <w:pPr>
        <w:pStyle w:val="14"/>
        <w:spacing w:after="60"/>
      </w:pPr>
      <w:r>
        <w:t>原始数据保留原则。系统在数据清洗和合并期间保留原始记录，规范化记录通过关联关系指向原始记录。</w:t>
      </w:r>
    </w:p>
    <w:p w14:paraId="2424201D">
      <w:pPr>
        <w:pStyle w:val="14"/>
        <w:spacing w:after="60"/>
      </w:pPr>
      <w:r>
        <w:t>合规采集原则。系统优先采用公开 API、公开数据下载文件和官方公开页面，并遵循各平台的许可协议、访问频率要求和版权要求。</w:t>
      </w:r>
    </w:p>
    <w:p w14:paraId="61A627CD">
      <w:pPr>
        <w:pStyle w:val="3"/>
      </w:pPr>
      <w:r>
        <w:t>2. 数据源调研</w:t>
      </w:r>
    </w:p>
    <w:p w14:paraId="53E4EA18">
      <w:pPr>
        <w:pStyle w:val="4"/>
      </w:pPr>
      <w:r>
        <w:t>2.1 论文数据源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836"/>
        <w:gridCol w:w="1836"/>
        <w:gridCol w:w="1836"/>
        <w:gridCol w:w="1836"/>
      </w:tblGrid>
      <w:tr w14:paraId="0B38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6" w:type="dxa"/>
            <w:shd w:val="clear" w:color="auto" w:fill="D9EAF7"/>
            <w:vAlign w:val="center"/>
          </w:tcPr>
          <w:p w14:paraId="400157C7">
            <w:pPr>
              <w:spacing w:after="0" w:line="240" w:lineRule="auto"/>
            </w:pPr>
            <w:r>
              <w:rPr>
                <w:rFonts w:ascii="宋体" w:hAnsi="宋体" w:eastAsia="宋体"/>
                <w:b/>
                <w:sz w:val="19"/>
              </w:rPr>
              <w:t>数据源</w:t>
            </w:r>
          </w:p>
        </w:tc>
        <w:tc>
          <w:tcPr>
            <w:tcW w:w="1836" w:type="dxa"/>
            <w:shd w:val="clear" w:color="auto" w:fill="D9EAF7"/>
            <w:vAlign w:val="center"/>
          </w:tcPr>
          <w:p w14:paraId="038D486C">
            <w:pPr>
              <w:spacing w:after="0" w:line="240" w:lineRule="auto"/>
            </w:pPr>
            <w:r>
              <w:rPr>
                <w:rFonts w:ascii="宋体" w:hAnsi="宋体" w:eastAsia="宋体"/>
                <w:b/>
                <w:sz w:val="19"/>
              </w:rPr>
              <w:t>定位</w:t>
            </w:r>
          </w:p>
        </w:tc>
        <w:tc>
          <w:tcPr>
            <w:tcW w:w="1836" w:type="dxa"/>
            <w:shd w:val="clear" w:color="auto" w:fill="D9EAF7"/>
            <w:vAlign w:val="center"/>
          </w:tcPr>
          <w:p w14:paraId="24F3EA16">
            <w:pPr>
              <w:spacing w:after="0" w:line="240" w:lineRule="auto"/>
            </w:pPr>
            <w:r>
              <w:rPr>
                <w:rFonts w:ascii="宋体" w:hAnsi="宋体" w:eastAsia="宋体"/>
                <w:b/>
                <w:sz w:val="19"/>
              </w:rPr>
              <w:t>主要数据</w:t>
            </w:r>
          </w:p>
        </w:tc>
        <w:tc>
          <w:tcPr>
            <w:tcW w:w="1836" w:type="dxa"/>
            <w:shd w:val="clear" w:color="auto" w:fill="D9EAF7"/>
            <w:vAlign w:val="center"/>
          </w:tcPr>
          <w:p w14:paraId="3A4367DF">
            <w:pPr>
              <w:spacing w:after="0" w:line="240" w:lineRule="auto"/>
            </w:pPr>
            <w:r>
              <w:rPr>
                <w:rFonts w:ascii="宋体" w:hAnsi="宋体" w:eastAsia="宋体"/>
                <w:b/>
                <w:sz w:val="19"/>
              </w:rPr>
              <w:t>访问方式</w:t>
            </w:r>
          </w:p>
        </w:tc>
        <w:tc>
          <w:tcPr>
            <w:tcW w:w="1836" w:type="dxa"/>
            <w:shd w:val="clear" w:color="auto" w:fill="D9EAF7"/>
            <w:vAlign w:val="center"/>
          </w:tcPr>
          <w:p w14:paraId="6DFDB112">
            <w:pPr>
              <w:spacing w:after="0" w:line="240" w:lineRule="auto"/>
            </w:pPr>
            <w:r>
              <w:rPr>
                <w:rFonts w:ascii="宋体" w:hAnsi="宋体" w:eastAsia="宋体"/>
                <w:b/>
                <w:sz w:val="19"/>
              </w:rPr>
              <w:t>本项目用途</w:t>
            </w:r>
          </w:p>
        </w:tc>
      </w:tr>
      <w:tr w14:paraId="043C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25C7B55A">
            <w:pPr>
              <w:spacing w:after="0" w:line="240" w:lineRule="auto"/>
            </w:pPr>
            <w:r>
              <w:rPr>
                <w:rFonts w:ascii="宋体" w:hAnsi="宋体" w:eastAsia="宋体"/>
                <w:sz w:val="18"/>
              </w:rPr>
              <w:t>OpenAlex</w:t>
            </w:r>
          </w:p>
        </w:tc>
        <w:tc>
          <w:tcPr>
            <w:tcW w:w="1836" w:type="dxa"/>
            <w:vAlign w:val="center"/>
          </w:tcPr>
          <w:p w14:paraId="4833DA46">
            <w:pPr>
              <w:spacing w:after="0" w:line="240" w:lineRule="auto"/>
            </w:pPr>
            <w:r>
              <w:rPr>
                <w:rFonts w:ascii="宋体" w:hAnsi="宋体" w:eastAsia="宋体"/>
                <w:sz w:val="18"/>
              </w:rPr>
              <w:t>主数据源</w:t>
            </w:r>
          </w:p>
        </w:tc>
        <w:tc>
          <w:tcPr>
            <w:tcW w:w="1836" w:type="dxa"/>
            <w:vAlign w:val="center"/>
          </w:tcPr>
          <w:p w14:paraId="67EF6766">
            <w:pPr>
              <w:spacing w:after="0" w:line="240" w:lineRule="auto"/>
            </w:pPr>
            <w:r>
              <w:rPr>
                <w:rFonts w:ascii="宋体" w:hAnsi="宋体" w:eastAsia="宋体"/>
                <w:sz w:val="18"/>
              </w:rPr>
              <w:t>论文、作者、机构、来源出版物、主题、引用统计、开放获取信息等</w:t>
            </w:r>
          </w:p>
        </w:tc>
        <w:tc>
          <w:tcPr>
            <w:tcW w:w="1836" w:type="dxa"/>
            <w:vAlign w:val="center"/>
          </w:tcPr>
          <w:p w14:paraId="778C4F63">
            <w:pPr>
              <w:spacing w:after="0" w:line="240" w:lineRule="auto"/>
            </w:pPr>
            <w:r>
              <w:rPr>
                <w:rFonts w:ascii="宋体" w:hAnsi="宋体" w:eastAsia="宋体"/>
                <w:sz w:val="18"/>
              </w:rPr>
              <w:t>REST API；全量快照</w:t>
            </w:r>
          </w:p>
        </w:tc>
        <w:tc>
          <w:tcPr>
            <w:tcW w:w="1836" w:type="dxa"/>
            <w:vAlign w:val="center"/>
          </w:tcPr>
          <w:p w14:paraId="066C4C9A">
            <w:pPr>
              <w:spacing w:after="0" w:line="240" w:lineRule="auto"/>
            </w:pPr>
            <w:r>
              <w:rPr>
                <w:rFonts w:ascii="宋体" w:hAnsi="宋体" w:eastAsia="宋体"/>
                <w:sz w:val="18"/>
              </w:rPr>
              <w:t>适合建立综合论文数据库和学者门户；可承担论文、作者、机构之间的主体关系构建</w:t>
            </w:r>
          </w:p>
        </w:tc>
      </w:tr>
      <w:tr w14:paraId="0CF0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483F8C36">
            <w:pPr>
              <w:spacing w:after="0" w:line="240" w:lineRule="auto"/>
            </w:pPr>
            <w:r>
              <w:rPr>
                <w:rFonts w:ascii="宋体" w:hAnsi="宋体" w:eastAsia="宋体"/>
                <w:sz w:val="18"/>
              </w:rPr>
              <w:t>DBLP</w:t>
            </w:r>
          </w:p>
        </w:tc>
        <w:tc>
          <w:tcPr>
            <w:tcW w:w="1836" w:type="dxa"/>
            <w:vAlign w:val="center"/>
          </w:tcPr>
          <w:p w14:paraId="04C8E111">
            <w:pPr>
              <w:spacing w:after="0" w:line="240" w:lineRule="auto"/>
            </w:pPr>
            <w:r>
              <w:rPr>
                <w:rFonts w:ascii="宋体" w:hAnsi="宋体" w:eastAsia="宋体"/>
                <w:sz w:val="18"/>
              </w:rPr>
              <w:t>计算机领域补充数据源</w:t>
            </w:r>
          </w:p>
        </w:tc>
        <w:tc>
          <w:tcPr>
            <w:tcW w:w="1836" w:type="dxa"/>
            <w:vAlign w:val="center"/>
          </w:tcPr>
          <w:p w14:paraId="457C2E08">
            <w:pPr>
              <w:spacing w:after="0" w:line="240" w:lineRule="auto"/>
            </w:pPr>
            <w:r>
              <w:rPr>
                <w:rFonts w:ascii="宋体" w:hAnsi="宋体" w:eastAsia="宋体"/>
                <w:sz w:val="18"/>
              </w:rPr>
              <w:t>期刊论文、会议论文、作者、会议或期刊信息、DBLP 唯一记录键</w:t>
            </w:r>
          </w:p>
        </w:tc>
        <w:tc>
          <w:tcPr>
            <w:tcW w:w="1836" w:type="dxa"/>
            <w:vAlign w:val="center"/>
          </w:tcPr>
          <w:p w14:paraId="7B0A60DF">
            <w:pPr>
              <w:spacing w:after="0" w:line="240" w:lineRule="auto"/>
            </w:pPr>
            <w:r>
              <w:rPr>
                <w:rFonts w:ascii="宋体" w:hAnsi="宋体" w:eastAsia="宋体"/>
                <w:sz w:val="18"/>
              </w:rPr>
              <w:t>检索 API；XML 全量数据</w:t>
            </w:r>
          </w:p>
        </w:tc>
        <w:tc>
          <w:tcPr>
            <w:tcW w:w="1836" w:type="dxa"/>
            <w:vAlign w:val="center"/>
          </w:tcPr>
          <w:p w14:paraId="5E37A75C">
            <w:pPr>
              <w:spacing w:after="0" w:line="240" w:lineRule="auto"/>
            </w:pPr>
            <w:r>
              <w:rPr>
                <w:rFonts w:ascii="宋体" w:hAnsi="宋体" w:eastAsia="宋体"/>
                <w:sz w:val="18"/>
              </w:rPr>
              <w:t>计算机领域数据质量较高；适合补充会议论文和作者记录</w:t>
            </w:r>
          </w:p>
        </w:tc>
      </w:tr>
      <w:tr w14:paraId="2AD2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67CFD85C">
            <w:pPr>
              <w:spacing w:after="0" w:line="240" w:lineRule="auto"/>
            </w:pPr>
            <w:r>
              <w:rPr>
                <w:rFonts w:ascii="宋体" w:hAnsi="宋体" w:eastAsia="宋体"/>
                <w:sz w:val="18"/>
              </w:rPr>
              <w:t>Crossref</w:t>
            </w:r>
          </w:p>
        </w:tc>
        <w:tc>
          <w:tcPr>
            <w:tcW w:w="1836" w:type="dxa"/>
            <w:vAlign w:val="center"/>
          </w:tcPr>
          <w:p w14:paraId="58DDC316">
            <w:pPr>
              <w:spacing w:after="0" w:line="240" w:lineRule="auto"/>
            </w:pPr>
            <w:r>
              <w:rPr>
                <w:rFonts w:ascii="宋体" w:hAnsi="宋体" w:eastAsia="宋体"/>
                <w:sz w:val="18"/>
              </w:rPr>
              <w:t>DOI 元数据校验源</w:t>
            </w:r>
          </w:p>
        </w:tc>
        <w:tc>
          <w:tcPr>
            <w:tcW w:w="1836" w:type="dxa"/>
            <w:vAlign w:val="center"/>
          </w:tcPr>
          <w:p w14:paraId="2DEF05FA">
            <w:pPr>
              <w:spacing w:after="0" w:line="240" w:lineRule="auto"/>
            </w:pPr>
            <w:r>
              <w:rPr>
                <w:rFonts w:ascii="宋体" w:hAnsi="宋体" w:eastAsia="宋体"/>
                <w:sz w:val="18"/>
              </w:rPr>
              <w:t>DOI、题名、作者、出版物、日期、基金、许可、更新关系等</w:t>
            </w:r>
          </w:p>
        </w:tc>
        <w:tc>
          <w:tcPr>
            <w:tcW w:w="1836" w:type="dxa"/>
            <w:vAlign w:val="center"/>
          </w:tcPr>
          <w:p w14:paraId="3B2424F6">
            <w:pPr>
              <w:spacing w:after="0" w:line="240" w:lineRule="auto"/>
            </w:pPr>
            <w:r>
              <w:rPr>
                <w:rFonts w:ascii="宋体" w:hAnsi="宋体" w:eastAsia="宋体"/>
                <w:sz w:val="18"/>
              </w:rPr>
              <w:t>公开 REST API</w:t>
            </w:r>
          </w:p>
        </w:tc>
        <w:tc>
          <w:tcPr>
            <w:tcW w:w="1836" w:type="dxa"/>
            <w:vAlign w:val="center"/>
          </w:tcPr>
          <w:p w14:paraId="2C2218CA">
            <w:pPr>
              <w:spacing w:after="0" w:line="240" w:lineRule="auto"/>
            </w:pPr>
            <w:r>
              <w:rPr>
                <w:rFonts w:ascii="宋体" w:hAnsi="宋体" w:eastAsia="宋体"/>
                <w:sz w:val="18"/>
              </w:rPr>
              <w:t>适合 DOI 校验、出版元数据补全和更正关系处理</w:t>
            </w:r>
          </w:p>
        </w:tc>
      </w:tr>
      <w:tr w14:paraId="4B41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5B5527CD">
            <w:pPr>
              <w:spacing w:after="0" w:line="240" w:lineRule="auto"/>
            </w:pPr>
            <w:r>
              <w:rPr>
                <w:rFonts w:ascii="宋体" w:hAnsi="宋体" w:eastAsia="宋体"/>
                <w:sz w:val="18"/>
              </w:rPr>
              <w:t>OpenCitations</w:t>
            </w:r>
          </w:p>
        </w:tc>
        <w:tc>
          <w:tcPr>
            <w:tcW w:w="1836" w:type="dxa"/>
            <w:vAlign w:val="center"/>
          </w:tcPr>
          <w:p w14:paraId="5E6886D4">
            <w:pPr>
              <w:spacing w:after="0" w:line="240" w:lineRule="auto"/>
            </w:pPr>
            <w:r>
              <w:rPr>
                <w:rFonts w:ascii="宋体" w:hAnsi="宋体" w:eastAsia="宋体"/>
                <w:sz w:val="18"/>
              </w:rPr>
              <w:t>引用关系补充源</w:t>
            </w:r>
          </w:p>
        </w:tc>
        <w:tc>
          <w:tcPr>
            <w:tcW w:w="1836" w:type="dxa"/>
            <w:vAlign w:val="center"/>
          </w:tcPr>
          <w:p w14:paraId="727988E5">
            <w:pPr>
              <w:spacing w:after="0" w:line="240" w:lineRule="auto"/>
            </w:pPr>
            <w:r>
              <w:rPr>
                <w:rFonts w:ascii="宋体" w:hAnsi="宋体" w:eastAsia="宋体"/>
                <w:sz w:val="18"/>
              </w:rPr>
              <w:t>文献之间的引用与被引用关系、引用数量</w:t>
            </w:r>
          </w:p>
        </w:tc>
        <w:tc>
          <w:tcPr>
            <w:tcW w:w="1836" w:type="dxa"/>
            <w:vAlign w:val="center"/>
          </w:tcPr>
          <w:p w14:paraId="18F2333C">
            <w:pPr>
              <w:spacing w:after="0" w:line="240" w:lineRule="auto"/>
            </w:pPr>
            <w:r>
              <w:rPr>
                <w:rFonts w:ascii="宋体" w:hAnsi="宋体" w:eastAsia="宋体"/>
                <w:sz w:val="18"/>
              </w:rPr>
              <w:t>REST API；数据下载</w:t>
            </w:r>
          </w:p>
        </w:tc>
        <w:tc>
          <w:tcPr>
            <w:tcW w:w="1836" w:type="dxa"/>
            <w:vAlign w:val="center"/>
          </w:tcPr>
          <w:p w14:paraId="37CA98D7">
            <w:pPr>
              <w:spacing w:after="0" w:line="240" w:lineRule="auto"/>
            </w:pPr>
            <w:r>
              <w:rPr>
                <w:rFonts w:ascii="宋体" w:hAnsi="宋体" w:eastAsia="宋体"/>
                <w:sz w:val="18"/>
              </w:rPr>
              <w:t>适合补充开放引用网络和引用统计</w:t>
            </w:r>
          </w:p>
        </w:tc>
      </w:tr>
      <w:tr w14:paraId="622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66DE8F98">
            <w:pPr>
              <w:spacing w:after="0" w:line="240" w:lineRule="auto"/>
            </w:pPr>
            <w:r>
              <w:rPr>
                <w:rFonts w:ascii="宋体" w:hAnsi="宋体" w:eastAsia="宋体"/>
                <w:sz w:val="18"/>
              </w:rPr>
              <w:t>ORCID</w:t>
            </w:r>
          </w:p>
        </w:tc>
        <w:tc>
          <w:tcPr>
            <w:tcW w:w="1836" w:type="dxa"/>
            <w:vAlign w:val="center"/>
          </w:tcPr>
          <w:p w14:paraId="79A2EC00">
            <w:pPr>
              <w:spacing w:after="0" w:line="240" w:lineRule="auto"/>
            </w:pPr>
            <w:r>
              <w:rPr>
                <w:rFonts w:ascii="宋体" w:hAnsi="宋体" w:eastAsia="宋体"/>
                <w:sz w:val="18"/>
              </w:rPr>
              <w:t>作者身份标识源</w:t>
            </w:r>
          </w:p>
        </w:tc>
        <w:tc>
          <w:tcPr>
            <w:tcW w:w="1836" w:type="dxa"/>
            <w:vAlign w:val="center"/>
          </w:tcPr>
          <w:p w14:paraId="49D4A12A">
            <w:pPr>
              <w:spacing w:after="0" w:line="240" w:lineRule="auto"/>
            </w:pPr>
            <w:r>
              <w:rPr>
                <w:rFonts w:ascii="宋体" w:hAnsi="宋体" w:eastAsia="宋体"/>
                <w:sz w:val="18"/>
              </w:rPr>
              <w:t>ORCID iD、公开姓名、机构、作品等公开记录</w:t>
            </w:r>
          </w:p>
        </w:tc>
        <w:tc>
          <w:tcPr>
            <w:tcW w:w="1836" w:type="dxa"/>
            <w:vAlign w:val="center"/>
          </w:tcPr>
          <w:p w14:paraId="18D38328">
            <w:pPr>
              <w:spacing w:after="0" w:line="240" w:lineRule="auto"/>
            </w:pPr>
            <w:r>
              <w:rPr>
                <w:rFonts w:ascii="宋体" w:hAnsi="宋体" w:eastAsia="宋体"/>
                <w:sz w:val="18"/>
              </w:rPr>
              <w:t>公共 API；年度公开数据文件</w:t>
            </w:r>
          </w:p>
        </w:tc>
        <w:tc>
          <w:tcPr>
            <w:tcW w:w="1836" w:type="dxa"/>
            <w:vAlign w:val="center"/>
          </w:tcPr>
          <w:p w14:paraId="0C15B4A6">
            <w:pPr>
              <w:spacing w:after="0" w:line="240" w:lineRule="auto"/>
            </w:pPr>
            <w:r>
              <w:rPr>
                <w:rFonts w:ascii="宋体" w:hAnsi="宋体" w:eastAsia="宋体"/>
                <w:sz w:val="18"/>
              </w:rPr>
              <w:t>适合已经验证的研究人员身份绑定和作者消歧</w:t>
            </w:r>
          </w:p>
        </w:tc>
      </w:tr>
      <w:tr w14:paraId="58C5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3231BC9D">
            <w:pPr>
              <w:spacing w:after="0" w:line="240" w:lineRule="auto"/>
            </w:pPr>
            <w:r>
              <w:rPr>
                <w:rFonts w:ascii="宋体" w:hAnsi="宋体" w:eastAsia="宋体"/>
                <w:sz w:val="18"/>
              </w:rPr>
              <w:t>ROR</w:t>
            </w:r>
          </w:p>
        </w:tc>
        <w:tc>
          <w:tcPr>
            <w:tcW w:w="1836" w:type="dxa"/>
            <w:vAlign w:val="center"/>
          </w:tcPr>
          <w:p w14:paraId="411DF405">
            <w:pPr>
              <w:spacing w:after="0" w:line="240" w:lineRule="auto"/>
            </w:pPr>
            <w:r>
              <w:rPr>
                <w:rFonts w:ascii="宋体" w:hAnsi="宋体" w:eastAsia="宋体"/>
                <w:sz w:val="18"/>
              </w:rPr>
              <w:t>机构身份标识源</w:t>
            </w:r>
          </w:p>
        </w:tc>
        <w:tc>
          <w:tcPr>
            <w:tcW w:w="1836" w:type="dxa"/>
            <w:vAlign w:val="center"/>
          </w:tcPr>
          <w:p w14:paraId="35DB2B79">
            <w:pPr>
              <w:spacing w:after="0" w:line="240" w:lineRule="auto"/>
            </w:pPr>
            <w:r>
              <w:rPr>
                <w:rFonts w:ascii="宋体" w:hAnsi="宋体" w:eastAsia="宋体"/>
                <w:sz w:val="18"/>
              </w:rPr>
              <w:t>ROR ID、机构规范名称、别名、多语言名称、地点、网站和外部标识映射</w:t>
            </w:r>
          </w:p>
        </w:tc>
        <w:tc>
          <w:tcPr>
            <w:tcW w:w="1836" w:type="dxa"/>
            <w:vAlign w:val="center"/>
          </w:tcPr>
          <w:p w14:paraId="25EA4EE1">
            <w:pPr>
              <w:spacing w:after="0" w:line="240" w:lineRule="auto"/>
            </w:pPr>
            <w:r>
              <w:rPr>
                <w:rFonts w:ascii="宋体" w:hAnsi="宋体" w:eastAsia="宋体"/>
                <w:sz w:val="18"/>
              </w:rPr>
              <w:t>开放 API；开放数据</w:t>
            </w:r>
          </w:p>
        </w:tc>
        <w:tc>
          <w:tcPr>
            <w:tcW w:w="1836" w:type="dxa"/>
            <w:vAlign w:val="center"/>
          </w:tcPr>
          <w:p w14:paraId="5B508D64">
            <w:pPr>
              <w:spacing w:after="0" w:line="240" w:lineRule="auto"/>
            </w:pPr>
            <w:r>
              <w:rPr>
                <w:rFonts w:ascii="宋体" w:hAnsi="宋体" w:eastAsia="宋体"/>
                <w:sz w:val="18"/>
              </w:rPr>
              <w:t>适合机构名称规范化和机构消歧</w:t>
            </w:r>
          </w:p>
        </w:tc>
      </w:tr>
    </w:tbl>
    <w:p w14:paraId="69B8FE1B"/>
    <w:p w14:paraId="75442BE7">
      <w:r>
        <w:t>OpenAlex 可以承担论文主数据源。OpenAlex 提供面向科研成果、作者和机构的综合索引，并且提供 API 和数据快照。DBLP 可以承担计算机领域补充数据源。DBLP 提供论文、作者和期刊会议检索接口，并且提供完整 XML 数据文件。Crossref 可以承担 DOI 元数据校验源，其公开 REST API 提供 DOI 相关的出版元数据、基金信息、许可信息、ORCID 和 ROR 等标识。OpenCitations 可以承担引用关系补充源。ORCID 和 ROR 分别承担研究人员与机构的标准身份标识补充工作。</w:t>
      </w:r>
    </w:p>
    <w:p w14:paraId="4C96CC00">
      <w:pPr>
        <w:pStyle w:val="5"/>
      </w:pPr>
      <w:r>
        <w:t>2.1.1 论文数据源优先级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5"/>
        <w:gridCol w:w="2295"/>
        <w:gridCol w:w="2295"/>
        <w:gridCol w:w="2295"/>
      </w:tblGrid>
      <w:tr w14:paraId="4E52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95" w:type="dxa"/>
            <w:shd w:val="clear" w:color="auto" w:fill="D9EAF7"/>
            <w:vAlign w:val="center"/>
          </w:tcPr>
          <w:p w14:paraId="1D1A7C22">
            <w:pPr>
              <w:spacing w:after="0" w:line="240" w:lineRule="auto"/>
            </w:pPr>
            <w:r>
              <w:rPr>
                <w:rFonts w:ascii="宋体" w:hAnsi="宋体" w:eastAsia="宋体"/>
                <w:b/>
                <w:sz w:val="19"/>
              </w:rPr>
              <w:t>字段类别</w:t>
            </w:r>
          </w:p>
        </w:tc>
        <w:tc>
          <w:tcPr>
            <w:tcW w:w="2295" w:type="dxa"/>
            <w:shd w:val="clear" w:color="auto" w:fill="D9EAF7"/>
            <w:vAlign w:val="center"/>
          </w:tcPr>
          <w:p w14:paraId="4AC58947">
            <w:pPr>
              <w:spacing w:after="0" w:line="240" w:lineRule="auto"/>
            </w:pPr>
            <w:r>
              <w:rPr>
                <w:rFonts w:ascii="宋体" w:hAnsi="宋体" w:eastAsia="宋体"/>
                <w:b/>
                <w:sz w:val="19"/>
              </w:rPr>
              <w:t>首选来源</w:t>
            </w:r>
          </w:p>
        </w:tc>
        <w:tc>
          <w:tcPr>
            <w:tcW w:w="2295" w:type="dxa"/>
            <w:shd w:val="clear" w:color="auto" w:fill="D9EAF7"/>
            <w:vAlign w:val="center"/>
          </w:tcPr>
          <w:p w14:paraId="623C5F46">
            <w:pPr>
              <w:spacing w:after="0" w:line="240" w:lineRule="auto"/>
            </w:pPr>
            <w:r>
              <w:rPr>
                <w:rFonts w:ascii="宋体" w:hAnsi="宋体" w:eastAsia="宋体"/>
                <w:b/>
                <w:sz w:val="19"/>
              </w:rPr>
              <w:t>次选来源</w:t>
            </w:r>
          </w:p>
        </w:tc>
        <w:tc>
          <w:tcPr>
            <w:tcW w:w="2295" w:type="dxa"/>
            <w:shd w:val="clear" w:color="auto" w:fill="D9EAF7"/>
            <w:vAlign w:val="center"/>
          </w:tcPr>
          <w:p w14:paraId="1CB58E71">
            <w:pPr>
              <w:spacing w:after="0" w:line="240" w:lineRule="auto"/>
            </w:pPr>
            <w:r>
              <w:rPr>
                <w:rFonts w:ascii="宋体" w:hAnsi="宋体" w:eastAsia="宋体"/>
                <w:b/>
                <w:sz w:val="19"/>
              </w:rPr>
              <w:t>处理规则</w:t>
            </w:r>
          </w:p>
        </w:tc>
      </w:tr>
      <w:tr w14:paraId="301C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36F9128C">
            <w:pPr>
              <w:spacing w:after="0" w:line="240" w:lineRule="auto"/>
            </w:pPr>
            <w:r>
              <w:rPr>
                <w:rFonts w:ascii="宋体" w:hAnsi="宋体" w:eastAsia="宋体"/>
                <w:sz w:val="18"/>
              </w:rPr>
              <w:t>DOI</w:t>
            </w:r>
          </w:p>
        </w:tc>
        <w:tc>
          <w:tcPr>
            <w:tcW w:w="2295" w:type="dxa"/>
            <w:vAlign w:val="center"/>
          </w:tcPr>
          <w:p w14:paraId="1EFE3933">
            <w:pPr>
              <w:spacing w:after="0" w:line="240" w:lineRule="auto"/>
            </w:pPr>
            <w:r>
              <w:rPr>
                <w:rFonts w:ascii="宋体" w:hAnsi="宋体" w:eastAsia="宋体"/>
                <w:sz w:val="18"/>
              </w:rPr>
              <w:t>Crossref</w:t>
            </w:r>
          </w:p>
        </w:tc>
        <w:tc>
          <w:tcPr>
            <w:tcW w:w="2295" w:type="dxa"/>
            <w:vAlign w:val="center"/>
          </w:tcPr>
          <w:p w14:paraId="4DA85BBC">
            <w:pPr>
              <w:spacing w:after="0" w:line="240" w:lineRule="auto"/>
            </w:pPr>
            <w:r>
              <w:rPr>
                <w:rFonts w:ascii="宋体" w:hAnsi="宋体" w:eastAsia="宋体"/>
                <w:sz w:val="18"/>
              </w:rPr>
              <w:t>OpenAlex、DBLP</w:t>
            </w:r>
          </w:p>
        </w:tc>
        <w:tc>
          <w:tcPr>
            <w:tcW w:w="2295" w:type="dxa"/>
            <w:vAlign w:val="center"/>
          </w:tcPr>
          <w:p w14:paraId="7FAEA7DB">
            <w:pPr>
              <w:spacing w:after="0" w:line="240" w:lineRule="auto"/>
            </w:pPr>
            <w:r>
              <w:rPr>
                <w:rFonts w:ascii="宋体" w:hAnsi="宋体" w:eastAsia="宋体"/>
                <w:sz w:val="18"/>
              </w:rPr>
              <w:t>统一转换为小写 DOI 主体；删除 https://doi.org/、doi: 等前缀；通过 DOI 进行精确匹配</w:t>
            </w:r>
          </w:p>
        </w:tc>
      </w:tr>
      <w:tr w14:paraId="15E3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3169DBD7">
            <w:pPr>
              <w:spacing w:after="0" w:line="240" w:lineRule="auto"/>
            </w:pPr>
            <w:r>
              <w:rPr>
                <w:rFonts w:ascii="宋体" w:hAnsi="宋体" w:eastAsia="宋体"/>
                <w:sz w:val="18"/>
              </w:rPr>
              <w:t>题名</w:t>
            </w:r>
          </w:p>
        </w:tc>
        <w:tc>
          <w:tcPr>
            <w:tcW w:w="2295" w:type="dxa"/>
            <w:vAlign w:val="center"/>
          </w:tcPr>
          <w:p w14:paraId="35C7BE26">
            <w:pPr>
              <w:spacing w:after="0" w:line="240" w:lineRule="auto"/>
            </w:pPr>
            <w:r>
              <w:rPr>
                <w:rFonts w:ascii="宋体" w:hAnsi="宋体" w:eastAsia="宋体"/>
                <w:sz w:val="18"/>
              </w:rPr>
              <w:t>Crossref（存在 DOI 时）</w:t>
            </w:r>
          </w:p>
        </w:tc>
        <w:tc>
          <w:tcPr>
            <w:tcW w:w="2295" w:type="dxa"/>
            <w:vAlign w:val="center"/>
          </w:tcPr>
          <w:p w14:paraId="2F1F7DA8">
            <w:pPr>
              <w:spacing w:after="0" w:line="240" w:lineRule="auto"/>
            </w:pPr>
            <w:r>
              <w:rPr>
                <w:rFonts w:ascii="宋体" w:hAnsi="宋体" w:eastAsia="宋体"/>
                <w:sz w:val="18"/>
              </w:rPr>
              <w:t>OpenAlex、DBLP</w:t>
            </w:r>
          </w:p>
        </w:tc>
        <w:tc>
          <w:tcPr>
            <w:tcW w:w="2295" w:type="dxa"/>
            <w:vAlign w:val="center"/>
          </w:tcPr>
          <w:p w14:paraId="794A66F6">
            <w:pPr>
              <w:spacing w:after="0" w:line="240" w:lineRule="auto"/>
            </w:pPr>
            <w:r>
              <w:rPr>
                <w:rFonts w:ascii="宋体" w:hAnsi="宋体" w:eastAsia="宋体"/>
                <w:sz w:val="18"/>
              </w:rPr>
              <w:t>保存原始题名和规范化题名；来源发生冲突时保留各来源值并选择主值</w:t>
            </w:r>
          </w:p>
        </w:tc>
      </w:tr>
      <w:tr w14:paraId="38A2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1A4CFD54">
            <w:pPr>
              <w:spacing w:after="0" w:line="240" w:lineRule="auto"/>
            </w:pPr>
            <w:r>
              <w:rPr>
                <w:rFonts w:ascii="宋体" w:hAnsi="宋体" w:eastAsia="宋体"/>
                <w:sz w:val="18"/>
              </w:rPr>
              <w:t>作者及作者顺序</w:t>
            </w:r>
          </w:p>
        </w:tc>
        <w:tc>
          <w:tcPr>
            <w:tcW w:w="2295" w:type="dxa"/>
            <w:vAlign w:val="center"/>
          </w:tcPr>
          <w:p w14:paraId="4DDCAB28">
            <w:pPr>
              <w:spacing w:after="0" w:line="240" w:lineRule="auto"/>
            </w:pPr>
            <w:r>
              <w:rPr>
                <w:rFonts w:ascii="宋体" w:hAnsi="宋体" w:eastAsia="宋体"/>
                <w:sz w:val="18"/>
              </w:rPr>
              <w:t>Crossref / DBLP</w:t>
            </w:r>
          </w:p>
        </w:tc>
        <w:tc>
          <w:tcPr>
            <w:tcW w:w="2295" w:type="dxa"/>
            <w:vAlign w:val="center"/>
          </w:tcPr>
          <w:p w14:paraId="1020AE39">
            <w:pPr>
              <w:spacing w:after="0" w:line="240" w:lineRule="auto"/>
            </w:pPr>
            <w:r>
              <w:rPr>
                <w:rFonts w:ascii="宋体" w:hAnsi="宋体" w:eastAsia="宋体"/>
                <w:sz w:val="18"/>
              </w:rPr>
              <w:t>OpenAlex</w:t>
            </w:r>
          </w:p>
        </w:tc>
        <w:tc>
          <w:tcPr>
            <w:tcW w:w="2295" w:type="dxa"/>
            <w:vAlign w:val="center"/>
          </w:tcPr>
          <w:p w14:paraId="5B54E948">
            <w:pPr>
              <w:spacing w:after="0" w:line="240" w:lineRule="auto"/>
            </w:pPr>
            <w:r>
              <w:rPr>
                <w:rFonts w:ascii="宋体" w:hAnsi="宋体" w:eastAsia="宋体"/>
                <w:sz w:val="18"/>
              </w:rPr>
              <w:t>保留作者顺序；作者实体通过 ORCID、来源作者标识和消歧算法建立统一作者记录</w:t>
            </w:r>
          </w:p>
        </w:tc>
      </w:tr>
      <w:tr w14:paraId="4A814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24890AF5">
            <w:pPr>
              <w:spacing w:after="0" w:line="240" w:lineRule="auto"/>
            </w:pPr>
            <w:r>
              <w:rPr>
                <w:rFonts w:ascii="宋体" w:hAnsi="宋体" w:eastAsia="宋体"/>
                <w:sz w:val="18"/>
              </w:rPr>
              <w:t>会议/期刊</w:t>
            </w:r>
          </w:p>
        </w:tc>
        <w:tc>
          <w:tcPr>
            <w:tcW w:w="2295" w:type="dxa"/>
            <w:vAlign w:val="center"/>
          </w:tcPr>
          <w:p w14:paraId="742825BC">
            <w:pPr>
              <w:spacing w:after="0" w:line="240" w:lineRule="auto"/>
            </w:pPr>
            <w:r>
              <w:rPr>
                <w:rFonts w:ascii="宋体" w:hAnsi="宋体" w:eastAsia="宋体"/>
                <w:sz w:val="18"/>
              </w:rPr>
              <w:t>Crossref / DBLP</w:t>
            </w:r>
          </w:p>
        </w:tc>
        <w:tc>
          <w:tcPr>
            <w:tcW w:w="2295" w:type="dxa"/>
            <w:vAlign w:val="center"/>
          </w:tcPr>
          <w:p w14:paraId="5813A2A0">
            <w:pPr>
              <w:spacing w:after="0" w:line="240" w:lineRule="auto"/>
            </w:pPr>
            <w:r>
              <w:rPr>
                <w:rFonts w:ascii="宋体" w:hAnsi="宋体" w:eastAsia="宋体"/>
                <w:sz w:val="18"/>
              </w:rPr>
              <w:t>OpenAlex</w:t>
            </w:r>
          </w:p>
        </w:tc>
        <w:tc>
          <w:tcPr>
            <w:tcW w:w="2295" w:type="dxa"/>
            <w:vAlign w:val="center"/>
          </w:tcPr>
          <w:p w14:paraId="773B0996">
            <w:pPr>
              <w:spacing w:after="0" w:line="240" w:lineRule="auto"/>
            </w:pPr>
            <w:r>
              <w:rPr>
                <w:rFonts w:ascii="宋体" w:hAnsi="宋体" w:eastAsia="宋体"/>
                <w:sz w:val="18"/>
              </w:rPr>
              <w:t>期刊优先使用 ISSN；会议使用规范化会议名称和系列名称</w:t>
            </w:r>
          </w:p>
        </w:tc>
      </w:tr>
      <w:tr w14:paraId="55F8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6501C43C">
            <w:pPr>
              <w:spacing w:after="0" w:line="240" w:lineRule="auto"/>
            </w:pPr>
            <w:r>
              <w:rPr>
                <w:rFonts w:ascii="宋体" w:hAnsi="宋体" w:eastAsia="宋体"/>
                <w:sz w:val="18"/>
              </w:rPr>
              <w:t>摘要</w:t>
            </w:r>
          </w:p>
        </w:tc>
        <w:tc>
          <w:tcPr>
            <w:tcW w:w="2295" w:type="dxa"/>
            <w:vAlign w:val="center"/>
          </w:tcPr>
          <w:p w14:paraId="4D8DA44B">
            <w:pPr>
              <w:spacing w:after="0" w:line="240" w:lineRule="auto"/>
            </w:pPr>
            <w:r>
              <w:rPr>
                <w:rFonts w:ascii="宋体" w:hAnsi="宋体" w:eastAsia="宋体"/>
                <w:sz w:val="18"/>
              </w:rPr>
              <w:t>OpenAlex / Crossref</w:t>
            </w:r>
          </w:p>
        </w:tc>
        <w:tc>
          <w:tcPr>
            <w:tcW w:w="2295" w:type="dxa"/>
            <w:vAlign w:val="center"/>
          </w:tcPr>
          <w:p w14:paraId="3E992914">
            <w:pPr>
              <w:spacing w:after="0" w:line="240" w:lineRule="auto"/>
            </w:pPr>
            <w:r>
              <w:rPr>
                <w:rFonts w:ascii="宋体" w:hAnsi="宋体" w:eastAsia="宋体"/>
                <w:sz w:val="18"/>
              </w:rPr>
              <w:t>其他公开来源</w:t>
            </w:r>
          </w:p>
        </w:tc>
        <w:tc>
          <w:tcPr>
            <w:tcW w:w="2295" w:type="dxa"/>
            <w:vAlign w:val="center"/>
          </w:tcPr>
          <w:p w14:paraId="5AB92672">
            <w:pPr>
              <w:spacing w:after="0" w:line="240" w:lineRule="auto"/>
            </w:pPr>
            <w:r>
              <w:rPr>
                <w:rFonts w:ascii="宋体" w:hAnsi="宋体" w:eastAsia="宋体"/>
                <w:sz w:val="18"/>
              </w:rPr>
              <w:t>仅保存许可条件允许存储与展示的摘要字段</w:t>
            </w:r>
          </w:p>
        </w:tc>
      </w:tr>
      <w:tr w14:paraId="56A0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4367CB69">
            <w:pPr>
              <w:spacing w:after="0" w:line="240" w:lineRule="auto"/>
            </w:pPr>
            <w:r>
              <w:rPr>
                <w:rFonts w:ascii="宋体" w:hAnsi="宋体" w:eastAsia="宋体"/>
                <w:sz w:val="18"/>
              </w:rPr>
              <w:t>研究主题</w:t>
            </w:r>
          </w:p>
        </w:tc>
        <w:tc>
          <w:tcPr>
            <w:tcW w:w="2295" w:type="dxa"/>
            <w:vAlign w:val="center"/>
          </w:tcPr>
          <w:p w14:paraId="36747426">
            <w:pPr>
              <w:spacing w:after="0" w:line="240" w:lineRule="auto"/>
            </w:pPr>
            <w:r>
              <w:rPr>
                <w:rFonts w:ascii="宋体" w:hAnsi="宋体" w:eastAsia="宋体"/>
                <w:sz w:val="18"/>
              </w:rPr>
              <w:t>OpenAlex</w:t>
            </w:r>
          </w:p>
        </w:tc>
        <w:tc>
          <w:tcPr>
            <w:tcW w:w="2295" w:type="dxa"/>
            <w:vAlign w:val="center"/>
          </w:tcPr>
          <w:p w14:paraId="4218A0D8">
            <w:pPr>
              <w:spacing w:after="0" w:line="240" w:lineRule="auto"/>
            </w:pPr>
            <w:r>
              <w:rPr>
                <w:rFonts w:ascii="宋体" w:hAnsi="宋体" w:eastAsia="宋体"/>
                <w:sz w:val="18"/>
              </w:rPr>
              <w:t>本地关键词提取</w:t>
            </w:r>
          </w:p>
        </w:tc>
        <w:tc>
          <w:tcPr>
            <w:tcW w:w="2295" w:type="dxa"/>
            <w:vAlign w:val="center"/>
          </w:tcPr>
          <w:p w14:paraId="40401A0B">
            <w:pPr>
              <w:spacing w:after="0" w:line="240" w:lineRule="auto"/>
            </w:pPr>
            <w:r>
              <w:rPr>
                <w:rFonts w:ascii="宋体" w:hAnsi="宋体" w:eastAsia="宋体"/>
                <w:sz w:val="18"/>
              </w:rPr>
              <w:t>保存来源主题，同时允许系统生成本地主题标签</w:t>
            </w:r>
          </w:p>
        </w:tc>
      </w:tr>
      <w:tr w14:paraId="07CA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2A051987">
            <w:pPr>
              <w:spacing w:after="0" w:line="240" w:lineRule="auto"/>
            </w:pPr>
            <w:r>
              <w:rPr>
                <w:rFonts w:ascii="宋体" w:hAnsi="宋体" w:eastAsia="宋体"/>
                <w:sz w:val="18"/>
              </w:rPr>
              <w:t>引用次数</w:t>
            </w:r>
          </w:p>
        </w:tc>
        <w:tc>
          <w:tcPr>
            <w:tcW w:w="2295" w:type="dxa"/>
            <w:vAlign w:val="center"/>
          </w:tcPr>
          <w:p w14:paraId="55E854AE">
            <w:pPr>
              <w:spacing w:after="0" w:line="240" w:lineRule="auto"/>
            </w:pPr>
            <w:r>
              <w:rPr>
                <w:rFonts w:ascii="宋体" w:hAnsi="宋体" w:eastAsia="宋体"/>
                <w:sz w:val="18"/>
              </w:rPr>
              <w:t>OpenAlex、OpenCitations 分源保存</w:t>
            </w:r>
          </w:p>
        </w:tc>
        <w:tc>
          <w:tcPr>
            <w:tcW w:w="2295" w:type="dxa"/>
            <w:vAlign w:val="center"/>
          </w:tcPr>
          <w:p w14:paraId="594CA784">
            <w:pPr>
              <w:spacing w:after="0" w:line="240" w:lineRule="auto"/>
            </w:pPr>
            <w:r>
              <w:rPr>
                <w:rFonts w:ascii="宋体" w:hAnsi="宋体" w:eastAsia="宋体"/>
                <w:sz w:val="18"/>
              </w:rPr>
              <w:t>Crossref</w:t>
            </w:r>
          </w:p>
        </w:tc>
        <w:tc>
          <w:tcPr>
            <w:tcW w:w="2295" w:type="dxa"/>
            <w:vAlign w:val="center"/>
          </w:tcPr>
          <w:p w14:paraId="1D33D11D">
            <w:pPr>
              <w:spacing w:after="0" w:line="240" w:lineRule="auto"/>
            </w:pPr>
            <w:r>
              <w:rPr>
                <w:rFonts w:ascii="宋体" w:hAnsi="宋体" w:eastAsia="宋体"/>
                <w:sz w:val="18"/>
              </w:rPr>
              <w:t>每个来源单独保存统计值；前端明确显示统计来源和更新时间</w:t>
            </w:r>
          </w:p>
        </w:tc>
      </w:tr>
      <w:tr w14:paraId="3CC9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7D2A72D5">
            <w:pPr>
              <w:spacing w:after="0" w:line="240" w:lineRule="auto"/>
            </w:pPr>
            <w:r>
              <w:rPr>
                <w:rFonts w:ascii="宋体" w:hAnsi="宋体" w:eastAsia="宋体"/>
                <w:sz w:val="18"/>
              </w:rPr>
              <w:t>作者身份</w:t>
            </w:r>
          </w:p>
        </w:tc>
        <w:tc>
          <w:tcPr>
            <w:tcW w:w="2295" w:type="dxa"/>
            <w:vAlign w:val="center"/>
          </w:tcPr>
          <w:p w14:paraId="0A993421">
            <w:pPr>
              <w:spacing w:after="0" w:line="240" w:lineRule="auto"/>
            </w:pPr>
            <w:r>
              <w:rPr>
                <w:rFonts w:ascii="宋体" w:hAnsi="宋体" w:eastAsia="宋体"/>
                <w:sz w:val="18"/>
              </w:rPr>
              <w:t>经认证的 ORCID</w:t>
            </w:r>
          </w:p>
        </w:tc>
        <w:tc>
          <w:tcPr>
            <w:tcW w:w="2295" w:type="dxa"/>
            <w:vAlign w:val="center"/>
          </w:tcPr>
          <w:p w14:paraId="7A02D358">
            <w:pPr>
              <w:spacing w:after="0" w:line="240" w:lineRule="auto"/>
            </w:pPr>
            <w:r>
              <w:rPr>
                <w:rFonts w:ascii="宋体" w:hAnsi="宋体" w:eastAsia="宋体"/>
                <w:sz w:val="18"/>
              </w:rPr>
              <w:t>OpenAlex、DBLP</w:t>
            </w:r>
          </w:p>
        </w:tc>
        <w:tc>
          <w:tcPr>
            <w:tcW w:w="2295" w:type="dxa"/>
            <w:vAlign w:val="center"/>
          </w:tcPr>
          <w:p w14:paraId="4CC29FC6">
            <w:pPr>
              <w:spacing w:after="0" w:line="240" w:lineRule="auto"/>
            </w:pPr>
            <w:r>
              <w:rPr>
                <w:rFonts w:ascii="宋体" w:hAnsi="宋体" w:eastAsia="宋体"/>
                <w:sz w:val="18"/>
              </w:rPr>
              <w:t>经过用户授权或验证获得的 ORCID 作为强身份标识</w:t>
            </w:r>
          </w:p>
        </w:tc>
      </w:tr>
      <w:tr w14:paraId="1F47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2D36485C">
            <w:pPr>
              <w:spacing w:after="0" w:line="240" w:lineRule="auto"/>
            </w:pPr>
            <w:r>
              <w:rPr>
                <w:rFonts w:ascii="宋体" w:hAnsi="宋体" w:eastAsia="宋体"/>
                <w:sz w:val="18"/>
              </w:rPr>
              <w:t>机构身份</w:t>
            </w:r>
          </w:p>
        </w:tc>
        <w:tc>
          <w:tcPr>
            <w:tcW w:w="2295" w:type="dxa"/>
            <w:vAlign w:val="center"/>
          </w:tcPr>
          <w:p w14:paraId="115E2100">
            <w:pPr>
              <w:spacing w:after="0" w:line="240" w:lineRule="auto"/>
            </w:pPr>
            <w:r>
              <w:rPr>
                <w:rFonts w:ascii="宋体" w:hAnsi="宋体" w:eastAsia="宋体"/>
                <w:sz w:val="18"/>
              </w:rPr>
              <w:t>ROR</w:t>
            </w:r>
          </w:p>
        </w:tc>
        <w:tc>
          <w:tcPr>
            <w:tcW w:w="2295" w:type="dxa"/>
            <w:vAlign w:val="center"/>
          </w:tcPr>
          <w:p w14:paraId="6F461F90">
            <w:pPr>
              <w:spacing w:after="0" w:line="240" w:lineRule="auto"/>
            </w:pPr>
            <w:r>
              <w:rPr>
                <w:rFonts w:ascii="宋体" w:hAnsi="宋体" w:eastAsia="宋体"/>
                <w:sz w:val="18"/>
              </w:rPr>
              <w:t>OpenAlex</w:t>
            </w:r>
          </w:p>
        </w:tc>
        <w:tc>
          <w:tcPr>
            <w:tcW w:w="2295" w:type="dxa"/>
            <w:vAlign w:val="center"/>
          </w:tcPr>
          <w:p w14:paraId="5E4986D5">
            <w:pPr>
              <w:spacing w:after="0" w:line="240" w:lineRule="auto"/>
            </w:pPr>
            <w:r>
              <w:rPr>
                <w:rFonts w:ascii="宋体" w:hAnsi="宋体" w:eastAsia="宋体"/>
                <w:sz w:val="18"/>
              </w:rPr>
              <w:t>规范机构记录使用 ROR ID；机构原始写法保留在别名表</w:t>
            </w:r>
          </w:p>
        </w:tc>
      </w:tr>
    </w:tbl>
    <w:p w14:paraId="35A7E5A5"/>
    <w:p w14:paraId="1D0659B5">
      <w:pPr>
        <w:pStyle w:val="4"/>
      </w:pPr>
      <w:r>
        <w:t>2.2 专利数据源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836"/>
        <w:gridCol w:w="1836"/>
        <w:gridCol w:w="1836"/>
        <w:gridCol w:w="1836"/>
      </w:tblGrid>
      <w:tr w14:paraId="3FE6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6" w:type="dxa"/>
            <w:shd w:val="clear" w:color="auto" w:fill="D9EAF7"/>
            <w:vAlign w:val="center"/>
          </w:tcPr>
          <w:p w14:paraId="43E113CD">
            <w:pPr>
              <w:spacing w:after="0" w:line="240" w:lineRule="auto"/>
            </w:pPr>
            <w:r>
              <w:rPr>
                <w:rFonts w:ascii="宋体" w:hAnsi="宋体" w:eastAsia="宋体"/>
                <w:b/>
                <w:sz w:val="19"/>
              </w:rPr>
              <w:t>数据源</w:t>
            </w:r>
          </w:p>
        </w:tc>
        <w:tc>
          <w:tcPr>
            <w:tcW w:w="1836" w:type="dxa"/>
            <w:shd w:val="clear" w:color="auto" w:fill="D9EAF7"/>
            <w:vAlign w:val="center"/>
          </w:tcPr>
          <w:p w14:paraId="6A914B90">
            <w:pPr>
              <w:spacing w:after="0" w:line="240" w:lineRule="auto"/>
            </w:pPr>
            <w:r>
              <w:rPr>
                <w:rFonts w:ascii="宋体" w:hAnsi="宋体" w:eastAsia="宋体"/>
                <w:b/>
                <w:sz w:val="19"/>
              </w:rPr>
              <w:t>定位</w:t>
            </w:r>
          </w:p>
        </w:tc>
        <w:tc>
          <w:tcPr>
            <w:tcW w:w="1836" w:type="dxa"/>
            <w:shd w:val="clear" w:color="auto" w:fill="D9EAF7"/>
            <w:vAlign w:val="center"/>
          </w:tcPr>
          <w:p w14:paraId="6908F83F">
            <w:pPr>
              <w:spacing w:after="0" w:line="240" w:lineRule="auto"/>
            </w:pPr>
            <w:r>
              <w:rPr>
                <w:rFonts w:ascii="宋体" w:hAnsi="宋体" w:eastAsia="宋体"/>
                <w:b/>
                <w:sz w:val="19"/>
              </w:rPr>
              <w:t>主要数据</w:t>
            </w:r>
          </w:p>
        </w:tc>
        <w:tc>
          <w:tcPr>
            <w:tcW w:w="1836" w:type="dxa"/>
            <w:shd w:val="clear" w:color="auto" w:fill="D9EAF7"/>
            <w:vAlign w:val="center"/>
          </w:tcPr>
          <w:p w14:paraId="28A31F0D">
            <w:pPr>
              <w:spacing w:after="0" w:line="240" w:lineRule="auto"/>
            </w:pPr>
            <w:r>
              <w:rPr>
                <w:rFonts w:ascii="宋体" w:hAnsi="宋体" w:eastAsia="宋体"/>
                <w:b/>
                <w:sz w:val="19"/>
              </w:rPr>
              <w:t>访问方式</w:t>
            </w:r>
          </w:p>
        </w:tc>
        <w:tc>
          <w:tcPr>
            <w:tcW w:w="1836" w:type="dxa"/>
            <w:shd w:val="clear" w:color="auto" w:fill="D9EAF7"/>
            <w:vAlign w:val="center"/>
          </w:tcPr>
          <w:p w14:paraId="22817A5A">
            <w:pPr>
              <w:spacing w:after="0" w:line="240" w:lineRule="auto"/>
            </w:pPr>
            <w:r>
              <w:rPr>
                <w:rFonts w:ascii="宋体" w:hAnsi="宋体" w:eastAsia="宋体"/>
                <w:b/>
                <w:sz w:val="19"/>
              </w:rPr>
              <w:t>本项目用途</w:t>
            </w:r>
          </w:p>
        </w:tc>
      </w:tr>
      <w:tr w14:paraId="62B1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33525AA6">
            <w:pPr>
              <w:spacing w:after="0" w:line="240" w:lineRule="auto"/>
            </w:pPr>
            <w:r>
              <w:rPr>
                <w:rFonts w:ascii="宋体" w:hAnsi="宋体" w:eastAsia="宋体"/>
                <w:sz w:val="18"/>
              </w:rPr>
              <w:t>国家知识产权局专利检索及分析系统</w:t>
            </w:r>
          </w:p>
        </w:tc>
        <w:tc>
          <w:tcPr>
            <w:tcW w:w="1836" w:type="dxa"/>
            <w:vAlign w:val="center"/>
          </w:tcPr>
          <w:p w14:paraId="22837E88">
            <w:pPr>
              <w:spacing w:after="0" w:line="240" w:lineRule="auto"/>
            </w:pPr>
            <w:r>
              <w:rPr>
                <w:rFonts w:ascii="宋体" w:hAnsi="宋体" w:eastAsia="宋体"/>
                <w:sz w:val="18"/>
              </w:rPr>
              <w:t>中国专利主数据源</w:t>
            </w:r>
          </w:p>
        </w:tc>
        <w:tc>
          <w:tcPr>
            <w:tcW w:w="1836" w:type="dxa"/>
            <w:vAlign w:val="center"/>
          </w:tcPr>
          <w:p w14:paraId="379FE9E9">
            <w:pPr>
              <w:spacing w:after="0" w:line="240" w:lineRule="auto"/>
            </w:pPr>
            <w:r>
              <w:rPr>
                <w:rFonts w:ascii="宋体" w:hAnsi="宋体" w:eastAsia="宋体"/>
                <w:sz w:val="18"/>
              </w:rPr>
              <w:t>中国发明、实用新型、外观设计的著录信息、全文、附图、法律状态、同族、引证等</w:t>
            </w:r>
          </w:p>
        </w:tc>
        <w:tc>
          <w:tcPr>
            <w:tcW w:w="1836" w:type="dxa"/>
            <w:vAlign w:val="center"/>
          </w:tcPr>
          <w:p w14:paraId="4E5F5CE9">
            <w:pPr>
              <w:spacing w:after="0" w:line="240" w:lineRule="auto"/>
            </w:pPr>
            <w:r>
              <w:rPr>
                <w:rFonts w:ascii="宋体" w:hAnsi="宋体" w:eastAsia="宋体"/>
                <w:sz w:val="18"/>
              </w:rPr>
              <w:t>官方检索与数据下载服务</w:t>
            </w:r>
          </w:p>
        </w:tc>
        <w:tc>
          <w:tcPr>
            <w:tcW w:w="1836" w:type="dxa"/>
            <w:vAlign w:val="center"/>
          </w:tcPr>
          <w:p w14:paraId="5CE6A682">
            <w:pPr>
              <w:spacing w:after="0" w:line="240" w:lineRule="auto"/>
            </w:pPr>
            <w:r>
              <w:rPr>
                <w:rFonts w:ascii="宋体" w:hAnsi="宋体" w:eastAsia="宋体"/>
                <w:sz w:val="18"/>
              </w:rPr>
              <w:t>中国专利检索、法律状态和官方著录信息</w:t>
            </w:r>
          </w:p>
        </w:tc>
      </w:tr>
      <w:tr w14:paraId="261F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7F7319F1">
            <w:pPr>
              <w:spacing w:after="0" w:line="240" w:lineRule="auto"/>
            </w:pPr>
            <w:r>
              <w:rPr>
                <w:rFonts w:ascii="宋体" w:hAnsi="宋体" w:eastAsia="宋体"/>
                <w:sz w:val="18"/>
              </w:rPr>
              <w:t>EPO Open Patent Services</w:t>
            </w:r>
          </w:p>
        </w:tc>
        <w:tc>
          <w:tcPr>
            <w:tcW w:w="1836" w:type="dxa"/>
            <w:vAlign w:val="center"/>
          </w:tcPr>
          <w:p w14:paraId="4E77D8C7">
            <w:pPr>
              <w:spacing w:after="0" w:line="240" w:lineRule="auto"/>
            </w:pPr>
            <w:r>
              <w:rPr>
                <w:rFonts w:ascii="宋体" w:hAnsi="宋体" w:eastAsia="宋体"/>
                <w:sz w:val="18"/>
              </w:rPr>
              <w:t>国际专利补充数据源</w:t>
            </w:r>
          </w:p>
        </w:tc>
        <w:tc>
          <w:tcPr>
            <w:tcW w:w="1836" w:type="dxa"/>
            <w:vAlign w:val="center"/>
          </w:tcPr>
          <w:p w14:paraId="46787E06">
            <w:pPr>
              <w:spacing w:after="0" w:line="240" w:lineRule="auto"/>
            </w:pPr>
            <w:r>
              <w:rPr>
                <w:rFonts w:ascii="宋体" w:hAnsi="宋体" w:eastAsia="宋体"/>
                <w:sz w:val="18"/>
              </w:rPr>
              <w:t>全球专利著录数据、法律事件、全文、图像、专利家族、CPC 等</w:t>
            </w:r>
          </w:p>
        </w:tc>
        <w:tc>
          <w:tcPr>
            <w:tcW w:w="1836" w:type="dxa"/>
            <w:vAlign w:val="center"/>
          </w:tcPr>
          <w:p w14:paraId="3B3A6169">
            <w:pPr>
              <w:spacing w:after="0" w:line="240" w:lineRule="auto"/>
            </w:pPr>
            <w:r>
              <w:rPr>
                <w:rFonts w:ascii="宋体" w:hAnsi="宋体" w:eastAsia="宋体"/>
                <w:sz w:val="18"/>
              </w:rPr>
              <w:t>REST 风格 XML 服务；需要注册凭证</w:t>
            </w:r>
          </w:p>
        </w:tc>
        <w:tc>
          <w:tcPr>
            <w:tcW w:w="1836" w:type="dxa"/>
            <w:vAlign w:val="center"/>
          </w:tcPr>
          <w:p w14:paraId="03C6A060">
            <w:pPr>
              <w:spacing w:after="0" w:line="240" w:lineRule="auto"/>
            </w:pPr>
            <w:r>
              <w:rPr>
                <w:rFonts w:ascii="宋体" w:hAnsi="宋体" w:eastAsia="宋体"/>
                <w:sz w:val="18"/>
              </w:rPr>
              <w:t>多国专利补充、专利家族识别、国际分类</w:t>
            </w:r>
          </w:p>
        </w:tc>
      </w:tr>
      <w:tr w14:paraId="52B4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3FC96BE8">
            <w:pPr>
              <w:spacing w:after="0" w:line="240" w:lineRule="auto"/>
            </w:pPr>
            <w:r>
              <w:rPr>
                <w:rFonts w:ascii="宋体" w:hAnsi="宋体" w:eastAsia="宋体"/>
                <w:sz w:val="18"/>
              </w:rPr>
              <w:t>EPO DOCDB / PATSTAT</w:t>
            </w:r>
          </w:p>
        </w:tc>
        <w:tc>
          <w:tcPr>
            <w:tcW w:w="1836" w:type="dxa"/>
            <w:vAlign w:val="center"/>
          </w:tcPr>
          <w:p w14:paraId="340D6DC9">
            <w:pPr>
              <w:spacing w:after="0" w:line="240" w:lineRule="auto"/>
            </w:pPr>
            <w:r>
              <w:rPr>
                <w:rFonts w:ascii="宋体" w:hAnsi="宋体" w:eastAsia="宋体"/>
                <w:sz w:val="18"/>
              </w:rPr>
              <w:t>大规模分析数据源</w:t>
            </w:r>
          </w:p>
        </w:tc>
        <w:tc>
          <w:tcPr>
            <w:tcW w:w="1836" w:type="dxa"/>
            <w:vAlign w:val="center"/>
          </w:tcPr>
          <w:p w14:paraId="50955004">
            <w:pPr>
              <w:spacing w:after="0" w:line="240" w:lineRule="auto"/>
            </w:pPr>
            <w:r>
              <w:rPr>
                <w:rFonts w:ascii="宋体" w:hAnsi="宋体" w:eastAsia="宋体"/>
                <w:sz w:val="18"/>
              </w:rPr>
              <w:t>全球专利著录、摘要、引用、专利家族等</w:t>
            </w:r>
          </w:p>
        </w:tc>
        <w:tc>
          <w:tcPr>
            <w:tcW w:w="1836" w:type="dxa"/>
            <w:vAlign w:val="center"/>
          </w:tcPr>
          <w:p w14:paraId="4634CB54">
            <w:pPr>
              <w:spacing w:after="0" w:line="240" w:lineRule="auto"/>
            </w:pPr>
            <w:r>
              <w:rPr>
                <w:rFonts w:ascii="宋体" w:hAnsi="宋体" w:eastAsia="宋体"/>
                <w:sz w:val="18"/>
              </w:rPr>
              <w:t>批量数据产品</w:t>
            </w:r>
          </w:p>
        </w:tc>
        <w:tc>
          <w:tcPr>
            <w:tcW w:w="1836" w:type="dxa"/>
            <w:vAlign w:val="center"/>
          </w:tcPr>
          <w:p w14:paraId="04698E61">
            <w:pPr>
              <w:spacing w:after="0" w:line="240" w:lineRule="auto"/>
            </w:pPr>
            <w:r>
              <w:rPr>
                <w:rFonts w:ascii="宋体" w:hAnsi="宋体" w:eastAsia="宋体"/>
                <w:sz w:val="18"/>
              </w:rPr>
              <w:t>后续大规模专利统计与分析</w:t>
            </w:r>
          </w:p>
        </w:tc>
      </w:tr>
      <w:tr w14:paraId="576A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3B609865">
            <w:pPr>
              <w:spacing w:after="0" w:line="240" w:lineRule="auto"/>
            </w:pPr>
            <w:r>
              <w:rPr>
                <w:rFonts w:ascii="宋体" w:hAnsi="宋体" w:eastAsia="宋体"/>
                <w:sz w:val="18"/>
              </w:rPr>
              <w:t>Lens</w:t>
            </w:r>
          </w:p>
        </w:tc>
        <w:tc>
          <w:tcPr>
            <w:tcW w:w="1836" w:type="dxa"/>
            <w:vAlign w:val="center"/>
          </w:tcPr>
          <w:p w14:paraId="60179F6C">
            <w:pPr>
              <w:spacing w:after="0" w:line="240" w:lineRule="auto"/>
            </w:pPr>
            <w:r>
              <w:rPr>
                <w:rFonts w:ascii="宋体" w:hAnsi="宋体" w:eastAsia="宋体"/>
                <w:sz w:val="18"/>
              </w:rPr>
              <w:t>备选综合数据源</w:t>
            </w:r>
          </w:p>
        </w:tc>
        <w:tc>
          <w:tcPr>
            <w:tcW w:w="1836" w:type="dxa"/>
            <w:vAlign w:val="center"/>
          </w:tcPr>
          <w:p w14:paraId="155FAB72">
            <w:pPr>
              <w:spacing w:after="0" w:line="240" w:lineRule="auto"/>
            </w:pPr>
            <w:r>
              <w:rPr>
                <w:rFonts w:ascii="宋体" w:hAnsi="宋体" w:eastAsia="宋体"/>
                <w:sz w:val="18"/>
              </w:rPr>
              <w:t>专利与论文综合检索、专利元数据</w:t>
            </w:r>
          </w:p>
        </w:tc>
        <w:tc>
          <w:tcPr>
            <w:tcW w:w="1836" w:type="dxa"/>
            <w:vAlign w:val="center"/>
          </w:tcPr>
          <w:p w14:paraId="44D12BCD">
            <w:pPr>
              <w:spacing w:after="0" w:line="240" w:lineRule="auto"/>
            </w:pPr>
            <w:r>
              <w:rPr>
                <w:rFonts w:ascii="宋体" w:hAnsi="宋体" w:eastAsia="宋体"/>
                <w:sz w:val="18"/>
              </w:rPr>
              <w:t>API 需要相应访问资格</w:t>
            </w:r>
          </w:p>
        </w:tc>
        <w:tc>
          <w:tcPr>
            <w:tcW w:w="1836" w:type="dxa"/>
            <w:vAlign w:val="center"/>
          </w:tcPr>
          <w:p w14:paraId="35343E68">
            <w:pPr>
              <w:spacing w:after="0" w:line="240" w:lineRule="auto"/>
            </w:pPr>
            <w:r>
              <w:rPr>
                <w:rFonts w:ascii="宋体" w:hAnsi="宋体" w:eastAsia="宋体"/>
                <w:sz w:val="18"/>
              </w:rPr>
              <w:t>适合作为补充来源；使用前确认课程项目的访问资格和许可条款</w:t>
            </w:r>
          </w:p>
        </w:tc>
      </w:tr>
    </w:tbl>
    <w:p w14:paraId="2DFB3D68"/>
    <w:p w14:paraId="7F8B98D3">
      <w:r>
        <w:t>国家知识产权局公开资料显示，专利检索及分析系统提供中国发明、实用新型和外观设计的全文文本、全文图像、著录项目、法律状态、同族和引证等信息。欧洲专利局 OPS 提供标准化 XML 接口，并且能够访问专利著录信息、法律状态、全文、图像和 CPC 分类等数据。项目一期可以将国家知识产权局公开数据作为中国专利主来源，将 EPO OPS 作为国际专利补充来源。</w:t>
      </w:r>
    </w:p>
    <w:p w14:paraId="24DFC3D1">
      <w:pPr>
        <w:pStyle w:val="5"/>
        <w:rPr>
          <w:rFonts w:hint="eastAsia" w:ascii="黑体" w:hAnsi="黑体" w:eastAsia="黑体" w:cs="黑体"/>
        </w:rPr>
      </w:pPr>
      <w:r>
        <w:rPr>
          <w:rFonts w:hint="eastAsia" w:ascii="黑体" w:hAnsi="黑体" w:eastAsia="黑体" w:cs="黑体"/>
        </w:rPr>
        <w:t xml:space="preserve">2.2.1 </w:t>
      </w:r>
      <w:r>
        <w:rPr>
          <w:rFonts w:hint="eastAsia" w:ascii="黑体" w:hAnsi="黑体" w:eastAsia="黑体" w:cs="黑体"/>
        </w:rPr>
        <w:t>专利记录</w:t>
      </w:r>
      <w:bookmarkStart w:id="0" w:name="_GoBack"/>
      <w:bookmarkEnd w:id="0"/>
      <w:r>
        <w:rPr>
          <w:rFonts w:hint="eastAsia" w:ascii="黑体" w:hAnsi="黑体" w:eastAsia="黑体" w:cs="黑体"/>
        </w:rPr>
        <w:t>的两个层次</w:t>
      </w:r>
    </w:p>
    <w:p w14:paraId="409C43DF">
      <w:r>
        <w:t>系统需要同时维护“专利公开记录”和“专利家族”两个层次。一个发明可能在多个国家或地区形成多个公开记录，同一申请也可能形成不同公开阶段的文献。系统以“主管机构代码 + 公开号 + 文献种类代码”识别具体公开文献，并以专利家族标识建立不同国家或地区记录之间的关联。检索结果页面可以按照用户选择展示具体公开文献或折叠后的专利家族。</w:t>
      </w:r>
    </w:p>
    <w:p w14:paraId="5611B54C">
      <w:pPr>
        <w:pStyle w:val="4"/>
      </w:pPr>
      <w:r>
        <w:t>2.3 科技奖励数据源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836"/>
        <w:gridCol w:w="1836"/>
        <w:gridCol w:w="1836"/>
        <w:gridCol w:w="1836"/>
      </w:tblGrid>
      <w:tr w14:paraId="3958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6" w:type="dxa"/>
            <w:shd w:val="clear" w:color="auto" w:fill="D9EAF7"/>
            <w:vAlign w:val="center"/>
          </w:tcPr>
          <w:p w14:paraId="3CDF50BA">
            <w:pPr>
              <w:spacing w:after="0" w:line="240" w:lineRule="auto"/>
            </w:pPr>
            <w:r>
              <w:rPr>
                <w:rFonts w:ascii="宋体" w:hAnsi="宋体" w:eastAsia="宋体"/>
                <w:b/>
                <w:sz w:val="19"/>
              </w:rPr>
              <w:t>数据源</w:t>
            </w:r>
          </w:p>
        </w:tc>
        <w:tc>
          <w:tcPr>
            <w:tcW w:w="1836" w:type="dxa"/>
            <w:shd w:val="clear" w:color="auto" w:fill="D9EAF7"/>
            <w:vAlign w:val="center"/>
          </w:tcPr>
          <w:p w14:paraId="031B874D">
            <w:pPr>
              <w:spacing w:after="0" w:line="240" w:lineRule="auto"/>
            </w:pPr>
            <w:r>
              <w:rPr>
                <w:rFonts w:ascii="宋体" w:hAnsi="宋体" w:eastAsia="宋体"/>
                <w:b/>
                <w:sz w:val="19"/>
              </w:rPr>
              <w:t>定位</w:t>
            </w:r>
          </w:p>
        </w:tc>
        <w:tc>
          <w:tcPr>
            <w:tcW w:w="1836" w:type="dxa"/>
            <w:shd w:val="clear" w:color="auto" w:fill="D9EAF7"/>
            <w:vAlign w:val="center"/>
          </w:tcPr>
          <w:p w14:paraId="76FF6EEC">
            <w:pPr>
              <w:spacing w:after="0" w:line="240" w:lineRule="auto"/>
            </w:pPr>
            <w:r>
              <w:rPr>
                <w:rFonts w:ascii="宋体" w:hAnsi="宋体" w:eastAsia="宋体"/>
                <w:b/>
                <w:sz w:val="19"/>
              </w:rPr>
              <w:t>主要数据</w:t>
            </w:r>
          </w:p>
        </w:tc>
        <w:tc>
          <w:tcPr>
            <w:tcW w:w="1836" w:type="dxa"/>
            <w:shd w:val="clear" w:color="auto" w:fill="D9EAF7"/>
            <w:vAlign w:val="center"/>
          </w:tcPr>
          <w:p w14:paraId="26EE06E1">
            <w:pPr>
              <w:spacing w:after="0" w:line="240" w:lineRule="auto"/>
            </w:pPr>
            <w:r>
              <w:rPr>
                <w:rFonts w:ascii="宋体" w:hAnsi="宋体" w:eastAsia="宋体"/>
                <w:b/>
                <w:sz w:val="19"/>
              </w:rPr>
              <w:t>访问方式</w:t>
            </w:r>
          </w:p>
        </w:tc>
        <w:tc>
          <w:tcPr>
            <w:tcW w:w="1836" w:type="dxa"/>
            <w:shd w:val="clear" w:color="auto" w:fill="D9EAF7"/>
            <w:vAlign w:val="center"/>
          </w:tcPr>
          <w:p w14:paraId="111C0DCA">
            <w:pPr>
              <w:spacing w:after="0" w:line="240" w:lineRule="auto"/>
            </w:pPr>
            <w:r>
              <w:rPr>
                <w:rFonts w:ascii="宋体" w:hAnsi="宋体" w:eastAsia="宋体"/>
                <w:b/>
                <w:sz w:val="19"/>
              </w:rPr>
              <w:t>本项目用途</w:t>
            </w:r>
          </w:p>
        </w:tc>
      </w:tr>
      <w:tr w14:paraId="7F20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38487579">
            <w:pPr>
              <w:spacing w:after="0" w:line="240" w:lineRule="auto"/>
            </w:pPr>
            <w:r>
              <w:rPr>
                <w:rFonts w:ascii="宋体" w:hAnsi="宋体" w:eastAsia="宋体"/>
                <w:sz w:val="18"/>
              </w:rPr>
              <w:t>国家科学技术奖励工作办公室</w:t>
            </w:r>
          </w:p>
        </w:tc>
        <w:tc>
          <w:tcPr>
            <w:tcW w:w="1836" w:type="dxa"/>
            <w:vAlign w:val="center"/>
          </w:tcPr>
          <w:p w14:paraId="6ADD1755">
            <w:pPr>
              <w:spacing w:after="0" w:line="240" w:lineRule="auto"/>
            </w:pPr>
            <w:r>
              <w:rPr>
                <w:rFonts w:ascii="宋体" w:hAnsi="宋体" w:eastAsia="宋体"/>
                <w:sz w:val="18"/>
              </w:rPr>
              <w:t>国家级奖励主数据源</w:t>
            </w:r>
          </w:p>
        </w:tc>
        <w:tc>
          <w:tcPr>
            <w:tcW w:w="1836" w:type="dxa"/>
            <w:vAlign w:val="center"/>
          </w:tcPr>
          <w:p w14:paraId="4651FBED">
            <w:pPr>
              <w:spacing w:after="0" w:line="240" w:lineRule="auto"/>
            </w:pPr>
            <w:r>
              <w:rPr>
                <w:rFonts w:ascii="宋体" w:hAnsi="宋体" w:eastAsia="宋体"/>
                <w:sz w:val="18"/>
              </w:rPr>
              <w:t>国家最高科学技术奖、国家自然科学奖、国家技术发明奖、国家科学技术进步奖等获奖目录</w:t>
            </w:r>
          </w:p>
        </w:tc>
        <w:tc>
          <w:tcPr>
            <w:tcW w:w="1836" w:type="dxa"/>
            <w:vAlign w:val="center"/>
          </w:tcPr>
          <w:p w14:paraId="2374EC39">
            <w:pPr>
              <w:spacing w:after="0" w:line="240" w:lineRule="auto"/>
            </w:pPr>
            <w:r>
              <w:rPr>
                <w:rFonts w:ascii="宋体" w:hAnsi="宋体" w:eastAsia="宋体"/>
                <w:sz w:val="18"/>
              </w:rPr>
              <w:t>官方网页、目录页面</w:t>
            </w:r>
          </w:p>
        </w:tc>
        <w:tc>
          <w:tcPr>
            <w:tcW w:w="1836" w:type="dxa"/>
            <w:vAlign w:val="center"/>
          </w:tcPr>
          <w:p w14:paraId="0F2AA405">
            <w:pPr>
              <w:spacing w:after="0" w:line="240" w:lineRule="auto"/>
            </w:pPr>
            <w:r>
              <w:rPr>
                <w:rFonts w:ascii="宋体" w:hAnsi="宋体" w:eastAsia="宋体"/>
                <w:sz w:val="18"/>
              </w:rPr>
              <w:t>国家级科技奖励</w:t>
            </w:r>
          </w:p>
        </w:tc>
      </w:tr>
      <w:tr w14:paraId="6729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11F1E7D1">
            <w:pPr>
              <w:spacing w:after="0" w:line="240" w:lineRule="auto"/>
            </w:pPr>
            <w:r>
              <w:rPr>
                <w:rFonts w:ascii="宋体" w:hAnsi="宋体" w:eastAsia="宋体"/>
                <w:sz w:val="18"/>
              </w:rPr>
              <w:t>科学技术部</w:t>
            </w:r>
          </w:p>
        </w:tc>
        <w:tc>
          <w:tcPr>
            <w:tcW w:w="1836" w:type="dxa"/>
            <w:vAlign w:val="center"/>
          </w:tcPr>
          <w:p w14:paraId="5B52F160">
            <w:pPr>
              <w:spacing w:after="0" w:line="240" w:lineRule="auto"/>
            </w:pPr>
            <w:r>
              <w:rPr>
                <w:rFonts w:ascii="宋体" w:hAnsi="宋体" w:eastAsia="宋体"/>
                <w:sz w:val="18"/>
              </w:rPr>
              <w:t>国家级历史结果补充</w:t>
            </w:r>
          </w:p>
        </w:tc>
        <w:tc>
          <w:tcPr>
            <w:tcW w:w="1836" w:type="dxa"/>
            <w:vAlign w:val="center"/>
          </w:tcPr>
          <w:p w14:paraId="281BAF7D">
            <w:pPr>
              <w:spacing w:after="0" w:line="240" w:lineRule="auto"/>
            </w:pPr>
            <w:r>
              <w:rPr>
                <w:rFonts w:ascii="宋体" w:hAnsi="宋体" w:eastAsia="宋体"/>
                <w:sz w:val="18"/>
              </w:rPr>
              <w:t>历年国家科学技术奖获奖项目目录</w:t>
            </w:r>
          </w:p>
        </w:tc>
        <w:tc>
          <w:tcPr>
            <w:tcW w:w="1836" w:type="dxa"/>
            <w:vAlign w:val="center"/>
          </w:tcPr>
          <w:p w14:paraId="556E05CA">
            <w:pPr>
              <w:spacing w:after="0" w:line="240" w:lineRule="auto"/>
            </w:pPr>
            <w:r>
              <w:rPr>
                <w:rFonts w:ascii="宋体" w:hAnsi="宋体" w:eastAsia="宋体"/>
                <w:sz w:val="18"/>
              </w:rPr>
              <w:t>官方网页、表格页面</w:t>
            </w:r>
          </w:p>
        </w:tc>
        <w:tc>
          <w:tcPr>
            <w:tcW w:w="1836" w:type="dxa"/>
            <w:vAlign w:val="center"/>
          </w:tcPr>
          <w:p w14:paraId="55C709DE">
            <w:pPr>
              <w:spacing w:after="0" w:line="240" w:lineRule="auto"/>
            </w:pPr>
            <w:r>
              <w:rPr>
                <w:rFonts w:ascii="宋体" w:hAnsi="宋体" w:eastAsia="宋体"/>
                <w:sz w:val="18"/>
              </w:rPr>
              <w:t>历史获奖项目补充与交叉校验</w:t>
            </w:r>
          </w:p>
        </w:tc>
      </w:tr>
      <w:tr w14:paraId="5965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6B69C13A">
            <w:pPr>
              <w:spacing w:after="0" w:line="240" w:lineRule="auto"/>
            </w:pPr>
            <w:r>
              <w:rPr>
                <w:rFonts w:ascii="宋体" w:hAnsi="宋体" w:eastAsia="宋体"/>
                <w:sz w:val="18"/>
              </w:rPr>
              <w:t>中国计算机学会 CCF</w:t>
            </w:r>
          </w:p>
        </w:tc>
        <w:tc>
          <w:tcPr>
            <w:tcW w:w="1836" w:type="dxa"/>
            <w:vAlign w:val="center"/>
          </w:tcPr>
          <w:p w14:paraId="612C8E31">
            <w:pPr>
              <w:spacing w:after="0" w:line="240" w:lineRule="auto"/>
            </w:pPr>
            <w:r>
              <w:rPr>
                <w:rFonts w:ascii="宋体" w:hAnsi="宋体" w:eastAsia="宋体"/>
                <w:sz w:val="18"/>
              </w:rPr>
              <w:t>计算机领域学会奖励</w:t>
            </w:r>
          </w:p>
        </w:tc>
        <w:tc>
          <w:tcPr>
            <w:tcW w:w="1836" w:type="dxa"/>
            <w:vAlign w:val="center"/>
          </w:tcPr>
          <w:p w14:paraId="575D5322">
            <w:pPr>
              <w:spacing w:after="0" w:line="240" w:lineRule="auto"/>
            </w:pPr>
            <w:r>
              <w:rPr>
                <w:rFonts w:ascii="宋体" w:hAnsi="宋体" w:eastAsia="宋体"/>
                <w:sz w:val="18"/>
              </w:rPr>
              <w:t>CCF 科技成果奖及其他 CCF 奖项的历年获奖名单</w:t>
            </w:r>
          </w:p>
        </w:tc>
        <w:tc>
          <w:tcPr>
            <w:tcW w:w="1836" w:type="dxa"/>
            <w:vAlign w:val="center"/>
          </w:tcPr>
          <w:p w14:paraId="0CF45DD9">
            <w:pPr>
              <w:spacing w:after="0" w:line="240" w:lineRule="auto"/>
            </w:pPr>
            <w:r>
              <w:rPr>
                <w:rFonts w:ascii="宋体" w:hAnsi="宋体" w:eastAsia="宋体"/>
                <w:sz w:val="18"/>
              </w:rPr>
              <w:t>官方网页、公告</w:t>
            </w:r>
          </w:p>
        </w:tc>
        <w:tc>
          <w:tcPr>
            <w:tcW w:w="1836" w:type="dxa"/>
            <w:vAlign w:val="center"/>
          </w:tcPr>
          <w:p w14:paraId="0D8734E8">
            <w:pPr>
              <w:spacing w:after="0" w:line="240" w:lineRule="auto"/>
            </w:pPr>
            <w:r>
              <w:rPr>
                <w:rFonts w:ascii="宋体" w:hAnsi="宋体" w:eastAsia="宋体"/>
                <w:sz w:val="18"/>
              </w:rPr>
              <w:t>计算机领域学会奖励</w:t>
            </w:r>
          </w:p>
        </w:tc>
      </w:tr>
      <w:tr w14:paraId="365B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54C2A94C">
            <w:pPr>
              <w:spacing w:after="0" w:line="240" w:lineRule="auto"/>
            </w:pPr>
            <w:r>
              <w:rPr>
                <w:rFonts w:ascii="宋体" w:hAnsi="宋体" w:eastAsia="宋体"/>
                <w:sz w:val="18"/>
              </w:rPr>
              <w:t>中国电子学会 CIE</w:t>
            </w:r>
          </w:p>
        </w:tc>
        <w:tc>
          <w:tcPr>
            <w:tcW w:w="1836" w:type="dxa"/>
            <w:vAlign w:val="center"/>
          </w:tcPr>
          <w:p w14:paraId="7043946F">
            <w:pPr>
              <w:spacing w:after="0" w:line="240" w:lineRule="auto"/>
            </w:pPr>
            <w:r>
              <w:rPr>
                <w:rFonts w:ascii="宋体" w:hAnsi="宋体" w:eastAsia="宋体"/>
                <w:sz w:val="18"/>
              </w:rPr>
              <w:t>电子信息领域学会奖励</w:t>
            </w:r>
          </w:p>
        </w:tc>
        <w:tc>
          <w:tcPr>
            <w:tcW w:w="1836" w:type="dxa"/>
            <w:vAlign w:val="center"/>
          </w:tcPr>
          <w:p w14:paraId="2815B452">
            <w:pPr>
              <w:spacing w:after="0" w:line="240" w:lineRule="auto"/>
            </w:pPr>
            <w:r>
              <w:rPr>
                <w:rFonts w:ascii="宋体" w:hAnsi="宋体" w:eastAsia="宋体"/>
                <w:sz w:val="18"/>
              </w:rPr>
              <w:t>中国电子学会科学技术奖授奖名单</w:t>
            </w:r>
          </w:p>
        </w:tc>
        <w:tc>
          <w:tcPr>
            <w:tcW w:w="1836" w:type="dxa"/>
            <w:vAlign w:val="center"/>
          </w:tcPr>
          <w:p w14:paraId="215F1852">
            <w:pPr>
              <w:spacing w:after="0" w:line="240" w:lineRule="auto"/>
            </w:pPr>
            <w:r>
              <w:rPr>
                <w:rFonts w:ascii="宋体" w:hAnsi="宋体" w:eastAsia="宋体"/>
                <w:sz w:val="18"/>
              </w:rPr>
              <w:t>官方公告、PDF 附件</w:t>
            </w:r>
          </w:p>
        </w:tc>
        <w:tc>
          <w:tcPr>
            <w:tcW w:w="1836" w:type="dxa"/>
            <w:vAlign w:val="center"/>
          </w:tcPr>
          <w:p w14:paraId="44649D5E">
            <w:pPr>
              <w:spacing w:after="0" w:line="240" w:lineRule="auto"/>
            </w:pPr>
            <w:r>
              <w:rPr>
                <w:rFonts w:ascii="宋体" w:hAnsi="宋体" w:eastAsia="宋体"/>
                <w:sz w:val="18"/>
              </w:rPr>
              <w:t>电子信息领域学会奖励</w:t>
            </w:r>
          </w:p>
        </w:tc>
      </w:tr>
      <w:tr w14:paraId="5167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6C763AD9">
            <w:pPr>
              <w:spacing w:after="0" w:line="240" w:lineRule="auto"/>
            </w:pPr>
            <w:r>
              <w:rPr>
                <w:rFonts w:ascii="宋体" w:hAnsi="宋体" w:eastAsia="宋体"/>
                <w:sz w:val="18"/>
              </w:rPr>
              <w:t>省级科技管理部门</w:t>
            </w:r>
          </w:p>
        </w:tc>
        <w:tc>
          <w:tcPr>
            <w:tcW w:w="1836" w:type="dxa"/>
            <w:vAlign w:val="center"/>
          </w:tcPr>
          <w:p w14:paraId="6E5B758A">
            <w:pPr>
              <w:spacing w:after="0" w:line="240" w:lineRule="auto"/>
            </w:pPr>
            <w:r>
              <w:rPr>
                <w:rFonts w:ascii="宋体" w:hAnsi="宋体" w:eastAsia="宋体"/>
                <w:sz w:val="18"/>
              </w:rPr>
              <w:t>省部级奖励来源</w:t>
            </w:r>
          </w:p>
        </w:tc>
        <w:tc>
          <w:tcPr>
            <w:tcW w:w="1836" w:type="dxa"/>
            <w:vAlign w:val="center"/>
          </w:tcPr>
          <w:p w14:paraId="7059E908">
            <w:pPr>
              <w:spacing w:after="0" w:line="240" w:lineRule="auto"/>
            </w:pPr>
            <w:r>
              <w:rPr>
                <w:rFonts w:ascii="宋体" w:hAnsi="宋体" w:eastAsia="宋体"/>
                <w:sz w:val="18"/>
              </w:rPr>
              <w:t>省级科学技术奖获奖名单</w:t>
            </w:r>
          </w:p>
        </w:tc>
        <w:tc>
          <w:tcPr>
            <w:tcW w:w="1836" w:type="dxa"/>
            <w:vAlign w:val="center"/>
          </w:tcPr>
          <w:p w14:paraId="7716197B">
            <w:pPr>
              <w:spacing w:after="0" w:line="240" w:lineRule="auto"/>
            </w:pPr>
            <w:r>
              <w:rPr>
                <w:rFonts w:ascii="宋体" w:hAnsi="宋体" w:eastAsia="宋体"/>
                <w:sz w:val="18"/>
              </w:rPr>
              <w:t>各省官方网页、公告、PDF</w:t>
            </w:r>
          </w:p>
        </w:tc>
        <w:tc>
          <w:tcPr>
            <w:tcW w:w="1836" w:type="dxa"/>
            <w:vAlign w:val="center"/>
          </w:tcPr>
          <w:p w14:paraId="30F63DB0">
            <w:pPr>
              <w:spacing w:after="0" w:line="240" w:lineRule="auto"/>
            </w:pPr>
            <w:r>
              <w:rPr>
                <w:rFonts w:ascii="宋体" w:hAnsi="宋体" w:eastAsia="宋体"/>
                <w:sz w:val="18"/>
              </w:rPr>
              <w:t>按目标省份逐步接入</w:t>
            </w:r>
          </w:p>
        </w:tc>
      </w:tr>
    </w:tbl>
    <w:p w14:paraId="5EDA5F49"/>
    <w:p w14:paraId="24CA4D87">
      <w:r>
        <w:t>科技奖励数据具有来源分散、页面结构差异较大、历史页面格式变化明显的特征。系统需要按照授奖机构分别建立采集适配器。国家级奖励优先采用国家科学技术奖励工作办公室和科学技术部公布的获奖目录。学会奖励采用授奖学会的官方获奖公告和历年获奖目录。省部级奖励采用相应省级科技管理部门或者其他正式授奖部门公布的结果。</w:t>
      </w:r>
    </w:p>
    <w:p w14:paraId="52918716">
      <w:r>
        <w:t>奖励记录需要保留授奖机构、奖项名称、奖励类别、奖励等级、获奖年度、项目名称、主要完成单位、主要完成人、公告日期、公告地址、来源页面标题等字段。奖励数据缺少统一的全球标识，因此需要通过复合键和相似度算法完成跨页面、跨年度目录和多来源记录之间的去重。</w:t>
      </w:r>
    </w:p>
    <w:p w14:paraId="01760404">
      <w:pPr>
        <w:pStyle w:val="4"/>
      </w:pPr>
      <w:r>
        <w:t>2.4 建议采用的数据源组合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836"/>
        <w:gridCol w:w="1836"/>
        <w:gridCol w:w="1836"/>
        <w:gridCol w:w="1836"/>
      </w:tblGrid>
      <w:tr w14:paraId="0225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6" w:type="dxa"/>
            <w:shd w:val="clear" w:color="auto" w:fill="D9EAF7"/>
            <w:vAlign w:val="center"/>
          </w:tcPr>
          <w:p w14:paraId="63C00EDD">
            <w:pPr>
              <w:spacing w:after="0" w:line="240" w:lineRule="auto"/>
            </w:pPr>
            <w:r>
              <w:rPr>
                <w:rFonts w:ascii="宋体" w:hAnsi="宋体" w:eastAsia="宋体"/>
                <w:b/>
                <w:sz w:val="19"/>
              </w:rPr>
              <w:t>成果类型</w:t>
            </w:r>
          </w:p>
        </w:tc>
        <w:tc>
          <w:tcPr>
            <w:tcW w:w="1836" w:type="dxa"/>
            <w:shd w:val="clear" w:color="auto" w:fill="D9EAF7"/>
            <w:vAlign w:val="center"/>
          </w:tcPr>
          <w:p w14:paraId="70DD5E01">
            <w:pPr>
              <w:spacing w:after="0" w:line="240" w:lineRule="auto"/>
            </w:pPr>
            <w:r>
              <w:rPr>
                <w:rFonts w:ascii="宋体" w:hAnsi="宋体" w:eastAsia="宋体"/>
                <w:b/>
                <w:sz w:val="19"/>
              </w:rPr>
              <w:t>一期主来源</w:t>
            </w:r>
          </w:p>
        </w:tc>
        <w:tc>
          <w:tcPr>
            <w:tcW w:w="1836" w:type="dxa"/>
            <w:shd w:val="clear" w:color="auto" w:fill="D9EAF7"/>
            <w:vAlign w:val="center"/>
          </w:tcPr>
          <w:p w14:paraId="743DEB49">
            <w:pPr>
              <w:spacing w:after="0" w:line="240" w:lineRule="auto"/>
            </w:pPr>
            <w:r>
              <w:rPr>
                <w:rFonts w:ascii="宋体" w:hAnsi="宋体" w:eastAsia="宋体"/>
                <w:b/>
                <w:sz w:val="19"/>
              </w:rPr>
              <w:t>补充来源</w:t>
            </w:r>
          </w:p>
        </w:tc>
        <w:tc>
          <w:tcPr>
            <w:tcW w:w="1836" w:type="dxa"/>
            <w:shd w:val="clear" w:color="auto" w:fill="D9EAF7"/>
            <w:vAlign w:val="center"/>
          </w:tcPr>
          <w:p w14:paraId="392BBAD2">
            <w:pPr>
              <w:spacing w:after="0" w:line="240" w:lineRule="auto"/>
            </w:pPr>
            <w:r>
              <w:rPr>
                <w:rFonts w:ascii="宋体" w:hAnsi="宋体" w:eastAsia="宋体"/>
                <w:b/>
                <w:sz w:val="19"/>
              </w:rPr>
              <w:t>身份或关系补充</w:t>
            </w:r>
          </w:p>
        </w:tc>
        <w:tc>
          <w:tcPr>
            <w:tcW w:w="1836" w:type="dxa"/>
            <w:shd w:val="clear" w:color="auto" w:fill="D9EAF7"/>
            <w:vAlign w:val="center"/>
          </w:tcPr>
          <w:p w14:paraId="52A91098">
            <w:pPr>
              <w:spacing w:after="0" w:line="240" w:lineRule="auto"/>
            </w:pPr>
            <w:r>
              <w:rPr>
                <w:rFonts w:ascii="宋体" w:hAnsi="宋体" w:eastAsia="宋体"/>
                <w:b/>
                <w:sz w:val="19"/>
              </w:rPr>
              <w:t>实施结论</w:t>
            </w:r>
          </w:p>
        </w:tc>
      </w:tr>
      <w:tr w14:paraId="6131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1FD95502">
            <w:pPr>
              <w:spacing w:after="0" w:line="240" w:lineRule="auto"/>
            </w:pPr>
            <w:r>
              <w:rPr>
                <w:rFonts w:ascii="宋体" w:hAnsi="宋体" w:eastAsia="宋体"/>
                <w:sz w:val="18"/>
              </w:rPr>
              <w:t>论文</w:t>
            </w:r>
          </w:p>
        </w:tc>
        <w:tc>
          <w:tcPr>
            <w:tcW w:w="1836" w:type="dxa"/>
            <w:vAlign w:val="center"/>
          </w:tcPr>
          <w:p w14:paraId="010E5620">
            <w:pPr>
              <w:spacing w:after="0" w:line="240" w:lineRule="auto"/>
            </w:pPr>
            <w:r>
              <w:rPr>
                <w:rFonts w:ascii="宋体" w:hAnsi="宋体" w:eastAsia="宋体"/>
                <w:sz w:val="18"/>
              </w:rPr>
              <w:t>OpenAlex</w:t>
            </w:r>
          </w:p>
        </w:tc>
        <w:tc>
          <w:tcPr>
            <w:tcW w:w="1836" w:type="dxa"/>
            <w:vAlign w:val="center"/>
          </w:tcPr>
          <w:p w14:paraId="59E7B79B">
            <w:pPr>
              <w:spacing w:after="0" w:line="240" w:lineRule="auto"/>
            </w:pPr>
            <w:r>
              <w:rPr>
                <w:rFonts w:ascii="宋体" w:hAnsi="宋体" w:eastAsia="宋体"/>
                <w:sz w:val="18"/>
              </w:rPr>
              <w:t>DBLP、Crossref</w:t>
            </w:r>
          </w:p>
        </w:tc>
        <w:tc>
          <w:tcPr>
            <w:tcW w:w="1836" w:type="dxa"/>
            <w:vAlign w:val="center"/>
          </w:tcPr>
          <w:p w14:paraId="7500ED3C">
            <w:pPr>
              <w:spacing w:after="0" w:line="240" w:lineRule="auto"/>
            </w:pPr>
            <w:r>
              <w:rPr>
                <w:rFonts w:ascii="宋体" w:hAnsi="宋体" w:eastAsia="宋体"/>
                <w:sz w:val="18"/>
              </w:rPr>
              <w:t>ORCID、ROR、OpenCitations</w:t>
            </w:r>
          </w:p>
        </w:tc>
        <w:tc>
          <w:tcPr>
            <w:tcW w:w="1836" w:type="dxa"/>
            <w:vAlign w:val="center"/>
          </w:tcPr>
          <w:p w14:paraId="0280B27B">
            <w:pPr>
              <w:spacing w:after="0" w:line="240" w:lineRule="auto"/>
            </w:pPr>
            <w:r>
              <w:rPr>
                <w:rFonts w:ascii="宋体" w:hAnsi="宋体" w:eastAsia="宋体"/>
                <w:sz w:val="18"/>
              </w:rPr>
              <w:t>优先完成，能够支撑一万条以上成果数据、论文检索、学者门户和统计分析</w:t>
            </w:r>
          </w:p>
        </w:tc>
      </w:tr>
      <w:tr w14:paraId="0749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36FF79E4">
            <w:pPr>
              <w:spacing w:after="0" w:line="240" w:lineRule="auto"/>
            </w:pPr>
            <w:r>
              <w:rPr>
                <w:rFonts w:ascii="宋体" w:hAnsi="宋体" w:eastAsia="宋体"/>
                <w:sz w:val="18"/>
              </w:rPr>
              <w:t>专利</w:t>
            </w:r>
          </w:p>
        </w:tc>
        <w:tc>
          <w:tcPr>
            <w:tcW w:w="1836" w:type="dxa"/>
            <w:vAlign w:val="center"/>
          </w:tcPr>
          <w:p w14:paraId="6E3515D1">
            <w:pPr>
              <w:spacing w:after="0" w:line="240" w:lineRule="auto"/>
            </w:pPr>
            <w:r>
              <w:rPr>
                <w:rFonts w:ascii="宋体" w:hAnsi="宋体" w:eastAsia="宋体"/>
                <w:sz w:val="18"/>
              </w:rPr>
              <w:t>国家知识产权局</w:t>
            </w:r>
          </w:p>
        </w:tc>
        <w:tc>
          <w:tcPr>
            <w:tcW w:w="1836" w:type="dxa"/>
            <w:vAlign w:val="center"/>
          </w:tcPr>
          <w:p w14:paraId="2109EF6C">
            <w:pPr>
              <w:spacing w:after="0" w:line="240" w:lineRule="auto"/>
            </w:pPr>
            <w:r>
              <w:rPr>
                <w:rFonts w:ascii="宋体" w:hAnsi="宋体" w:eastAsia="宋体"/>
                <w:sz w:val="18"/>
              </w:rPr>
              <w:t>EPO OPS</w:t>
            </w:r>
          </w:p>
        </w:tc>
        <w:tc>
          <w:tcPr>
            <w:tcW w:w="1836" w:type="dxa"/>
            <w:vAlign w:val="center"/>
          </w:tcPr>
          <w:p w14:paraId="3E9BFB32">
            <w:pPr>
              <w:spacing w:after="0" w:line="240" w:lineRule="auto"/>
            </w:pPr>
            <w:r>
              <w:rPr>
                <w:rFonts w:ascii="宋体" w:hAnsi="宋体" w:eastAsia="宋体"/>
                <w:sz w:val="18"/>
              </w:rPr>
              <w:t>EPO 专利家族和 CPC</w:t>
            </w:r>
          </w:p>
        </w:tc>
        <w:tc>
          <w:tcPr>
            <w:tcW w:w="1836" w:type="dxa"/>
            <w:vAlign w:val="center"/>
          </w:tcPr>
          <w:p w14:paraId="63C48967">
            <w:pPr>
              <w:spacing w:after="0" w:line="240" w:lineRule="auto"/>
            </w:pPr>
            <w:r>
              <w:rPr>
                <w:rFonts w:ascii="宋体" w:hAnsi="宋体" w:eastAsia="宋体"/>
                <w:sz w:val="18"/>
              </w:rPr>
              <w:t>优先完成中国专利，随后扩展国际专利</w:t>
            </w:r>
          </w:p>
        </w:tc>
      </w:tr>
      <w:tr w14:paraId="7690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2FA22CB8">
            <w:pPr>
              <w:spacing w:after="0" w:line="240" w:lineRule="auto"/>
            </w:pPr>
            <w:r>
              <w:rPr>
                <w:rFonts w:ascii="宋体" w:hAnsi="宋体" w:eastAsia="宋体"/>
                <w:sz w:val="18"/>
              </w:rPr>
              <w:t>科技奖励</w:t>
            </w:r>
          </w:p>
        </w:tc>
        <w:tc>
          <w:tcPr>
            <w:tcW w:w="1836" w:type="dxa"/>
            <w:vAlign w:val="center"/>
          </w:tcPr>
          <w:p w14:paraId="357B6E39">
            <w:pPr>
              <w:spacing w:after="0" w:line="240" w:lineRule="auto"/>
            </w:pPr>
            <w:r>
              <w:rPr>
                <w:rFonts w:ascii="宋体" w:hAnsi="宋体" w:eastAsia="宋体"/>
                <w:sz w:val="18"/>
              </w:rPr>
              <w:t>国家科学技术奖励工作办公室</w:t>
            </w:r>
          </w:p>
        </w:tc>
        <w:tc>
          <w:tcPr>
            <w:tcW w:w="1836" w:type="dxa"/>
            <w:vAlign w:val="center"/>
          </w:tcPr>
          <w:p w14:paraId="5BBBAE6C">
            <w:pPr>
              <w:spacing w:after="0" w:line="240" w:lineRule="auto"/>
            </w:pPr>
            <w:r>
              <w:rPr>
                <w:rFonts w:ascii="宋体" w:hAnsi="宋体" w:eastAsia="宋体"/>
                <w:sz w:val="18"/>
              </w:rPr>
              <w:t>科技部、CCF、中国电子学会、省级科技管理部门</w:t>
            </w:r>
          </w:p>
        </w:tc>
        <w:tc>
          <w:tcPr>
            <w:tcW w:w="1836" w:type="dxa"/>
            <w:vAlign w:val="center"/>
          </w:tcPr>
          <w:p w14:paraId="0DEB88A8">
            <w:pPr>
              <w:spacing w:after="0" w:line="240" w:lineRule="auto"/>
            </w:pPr>
            <w:r>
              <w:rPr>
                <w:rFonts w:ascii="宋体" w:hAnsi="宋体" w:eastAsia="宋体"/>
                <w:sz w:val="18"/>
              </w:rPr>
              <w:t>本地机构与人员实体</w:t>
            </w:r>
          </w:p>
        </w:tc>
        <w:tc>
          <w:tcPr>
            <w:tcW w:w="1836" w:type="dxa"/>
            <w:vAlign w:val="center"/>
          </w:tcPr>
          <w:p w14:paraId="62764E3E">
            <w:pPr>
              <w:spacing w:after="0" w:line="240" w:lineRule="auto"/>
            </w:pPr>
            <w:r>
              <w:rPr>
                <w:rFonts w:ascii="宋体" w:hAnsi="宋体" w:eastAsia="宋体"/>
                <w:sz w:val="18"/>
              </w:rPr>
              <w:t>采用来源适配器逐步接入，优先接入国家级和计算机、电子信息领域学会奖励</w:t>
            </w:r>
          </w:p>
        </w:tc>
      </w:tr>
    </w:tbl>
    <w:p w14:paraId="7C2BE294"/>
    <w:p w14:paraId="734B934A">
      <w:pPr>
        <w:pStyle w:val="3"/>
      </w:pPr>
      <w:r>
        <w:t>3. 统一数据接入与来源追踪方案</w:t>
      </w:r>
    </w:p>
    <w:p w14:paraId="05C8283B">
      <w:r>
        <w:t>系统的数据处理链路统一设置为：原始采集、结构解析、字段标准化、候选重复检索、重复判定、实体消歧、字段合并、质量校验、正式入库、搜索索引更新。每一个步骤生成处理状态和处理日志。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5"/>
        <w:gridCol w:w="2295"/>
        <w:gridCol w:w="2295"/>
        <w:gridCol w:w="2295"/>
      </w:tblGrid>
      <w:tr w14:paraId="5B35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95" w:type="dxa"/>
            <w:shd w:val="clear" w:color="auto" w:fill="D9EAF7"/>
            <w:vAlign w:val="center"/>
          </w:tcPr>
          <w:p w14:paraId="77E0C898">
            <w:pPr>
              <w:spacing w:after="0" w:line="240" w:lineRule="auto"/>
            </w:pPr>
            <w:r>
              <w:rPr>
                <w:rFonts w:ascii="宋体" w:hAnsi="宋体" w:eastAsia="宋体"/>
                <w:b/>
                <w:sz w:val="19"/>
              </w:rPr>
              <w:t>处理阶段</w:t>
            </w:r>
          </w:p>
        </w:tc>
        <w:tc>
          <w:tcPr>
            <w:tcW w:w="2295" w:type="dxa"/>
            <w:shd w:val="clear" w:color="auto" w:fill="D9EAF7"/>
            <w:vAlign w:val="center"/>
          </w:tcPr>
          <w:p w14:paraId="4EA63C4A">
            <w:pPr>
              <w:spacing w:after="0" w:line="240" w:lineRule="auto"/>
            </w:pPr>
            <w:r>
              <w:rPr>
                <w:rFonts w:ascii="宋体" w:hAnsi="宋体" w:eastAsia="宋体"/>
                <w:b/>
                <w:sz w:val="19"/>
              </w:rPr>
              <w:t>输入</w:t>
            </w:r>
          </w:p>
        </w:tc>
        <w:tc>
          <w:tcPr>
            <w:tcW w:w="2295" w:type="dxa"/>
            <w:shd w:val="clear" w:color="auto" w:fill="D9EAF7"/>
            <w:vAlign w:val="center"/>
          </w:tcPr>
          <w:p w14:paraId="3E990E92">
            <w:pPr>
              <w:spacing w:after="0" w:line="240" w:lineRule="auto"/>
            </w:pPr>
            <w:r>
              <w:rPr>
                <w:rFonts w:ascii="宋体" w:hAnsi="宋体" w:eastAsia="宋体"/>
                <w:b/>
                <w:sz w:val="19"/>
              </w:rPr>
              <w:t>主要处理</w:t>
            </w:r>
          </w:p>
        </w:tc>
        <w:tc>
          <w:tcPr>
            <w:tcW w:w="2295" w:type="dxa"/>
            <w:shd w:val="clear" w:color="auto" w:fill="D9EAF7"/>
            <w:vAlign w:val="center"/>
          </w:tcPr>
          <w:p w14:paraId="06B43486">
            <w:pPr>
              <w:spacing w:after="0" w:line="240" w:lineRule="auto"/>
            </w:pPr>
            <w:r>
              <w:rPr>
                <w:rFonts w:ascii="宋体" w:hAnsi="宋体" w:eastAsia="宋体"/>
                <w:b/>
                <w:sz w:val="19"/>
              </w:rPr>
              <w:t>输出</w:t>
            </w:r>
          </w:p>
        </w:tc>
      </w:tr>
      <w:tr w14:paraId="34D1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0B56DDDE">
            <w:pPr>
              <w:spacing w:after="0" w:line="240" w:lineRule="auto"/>
            </w:pPr>
            <w:r>
              <w:rPr>
                <w:rFonts w:ascii="宋体" w:hAnsi="宋体" w:eastAsia="宋体"/>
                <w:sz w:val="18"/>
              </w:rPr>
              <w:t>原始采集</w:t>
            </w:r>
          </w:p>
        </w:tc>
        <w:tc>
          <w:tcPr>
            <w:tcW w:w="2295" w:type="dxa"/>
            <w:vAlign w:val="center"/>
          </w:tcPr>
          <w:p w14:paraId="75597C71">
            <w:pPr>
              <w:spacing w:after="0" w:line="240" w:lineRule="auto"/>
            </w:pPr>
            <w:r>
              <w:rPr>
                <w:rFonts w:ascii="宋体" w:hAnsi="宋体" w:eastAsia="宋体"/>
                <w:sz w:val="18"/>
              </w:rPr>
              <w:t>API、XML、JSON、HTML、PDF 解析结果</w:t>
            </w:r>
          </w:p>
        </w:tc>
        <w:tc>
          <w:tcPr>
            <w:tcW w:w="2295" w:type="dxa"/>
            <w:vAlign w:val="center"/>
          </w:tcPr>
          <w:p w14:paraId="7E62FE8F">
            <w:pPr>
              <w:spacing w:after="0" w:line="240" w:lineRule="auto"/>
            </w:pPr>
            <w:r>
              <w:rPr>
                <w:rFonts w:ascii="宋体" w:hAnsi="宋体" w:eastAsia="宋体"/>
                <w:sz w:val="18"/>
              </w:rPr>
              <w:t>保存来源记录标识、抓取时间、内容摘要和校验值</w:t>
            </w:r>
          </w:p>
        </w:tc>
        <w:tc>
          <w:tcPr>
            <w:tcW w:w="2295" w:type="dxa"/>
            <w:vAlign w:val="center"/>
          </w:tcPr>
          <w:p w14:paraId="5EA96431">
            <w:pPr>
              <w:spacing w:after="0" w:line="240" w:lineRule="auto"/>
            </w:pPr>
            <w:r>
              <w:rPr>
                <w:rFonts w:ascii="宋体" w:hAnsi="宋体" w:eastAsia="宋体"/>
                <w:sz w:val="18"/>
              </w:rPr>
              <w:t>raw_record</w:t>
            </w:r>
          </w:p>
        </w:tc>
      </w:tr>
      <w:tr w14:paraId="6A4D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5460B297">
            <w:pPr>
              <w:spacing w:after="0" w:line="240" w:lineRule="auto"/>
            </w:pPr>
            <w:r>
              <w:rPr>
                <w:rFonts w:ascii="宋体" w:hAnsi="宋体" w:eastAsia="宋体"/>
                <w:sz w:val="18"/>
              </w:rPr>
              <w:t>结构解析</w:t>
            </w:r>
          </w:p>
        </w:tc>
        <w:tc>
          <w:tcPr>
            <w:tcW w:w="2295" w:type="dxa"/>
            <w:vAlign w:val="center"/>
          </w:tcPr>
          <w:p w14:paraId="705D003C">
            <w:pPr>
              <w:spacing w:after="0" w:line="240" w:lineRule="auto"/>
            </w:pPr>
            <w:r>
              <w:rPr>
                <w:rFonts w:ascii="宋体" w:hAnsi="宋体" w:eastAsia="宋体"/>
                <w:sz w:val="18"/>
              </w:rPr>
              <w:t>raw_record</w:t>
            </w:r>
          </w:p>
        </w:tc>
        <w:tc>
          <w:tcPr>
            <w:tcW w:w="2295" w:type="dxa"/>
            <w:vAlign w:val="center"/>
          </w:tcPr>
          <w:p w14:paraId="79990CE3">
            <w:pPr>
              <w:spacing w:after="0" w:line="240" w:lineRule="auto"/>
            </w:pPr>
            <w:r>
              <w:rPr>
                <w:rFonts w:ascii="宋体" w:hAnsi="宋体" w:eastAsia="宋体"/>
                <w:sz w:val="18"/>
              </w:rPr>
              <w:t>按照来源适配器映射字段</w:t>
            </w:r>
          </w:p>
        </w:tc>
        <w:tc>
          <w:tcPr>
            <w:tcW w:w="2295" w:type="dxa"/>
            <w:vAlign w:val="center"/>
          </w:tcPr>
          <w:p w14:paraId="10E9F245">
            <w:pPr>
              <w:spacing w:after="0" w:line="240" w:lineRule="auto"/>
            </w:pPr>
            <w:r>
              <w:rPr>
                <w:rFonts w:ascii="宋体" w:hAnsi="宋体" w:eastAsia="宋体"/>
                <w:sz w:val="18"/>
              </w:rPr>
              <w:t>source_record</w:t>
            </w:r>
          </w:p>
        </w:tc>
      </w:tr>
      <w:tr w14:paraId="6AE2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0E182122">
            <w:pPr>
              <w:spacing w:after="0" w:line="240" w:lineRule="auto"/>
            </w:pPr>
            <w:r>
              <w:rPr>
                <w:rFonts w:ascii="宋体" w:hAnsi="宋体" w:eastAsia="宋体"/>
                <w:sz w:val="18"/>
              </w:rPr>
              <w:t>字段标准化</w:t>
            </w:r>
          </w:p>
        </w:tc>
        <w:tc>
          <w:tcPr>
            <w:tcW w:w="2295" w:type="dxa"/>
            <w:vAlign w:val="center"/>
          </w:tcPr>
          <w:p w14:paraId="6BDEA36D">
            <w:pPr>
              <w:spacing w:after="0" w:line="240" w:lineRule="auto"/>
            </w:pPr>
            <w:r>
              <w:rPr>
                <w:rFonts w:ascii="宋体" w:hAnsi="宋体" w:eastAsia="宋体"/>
                <w:sz w:val="18"/>
              </w:rPr>
              <w:t>source_record</w:t>
            </w:r>
          </w:p>
        </w:tc>
        <w:tc>
          <w:tcPr>
            <w:tcW w:w="2295" w:type="dxa"/>
            <w:vAlign w:val="center"/>
          </w:tcPr>
          <w:p w14:paraId="3FE7DEAC">
            <w:pPr>
              <w:spacing w:after="0" w:line="240" w:lineRule="auto"/>
            </w:pPr>
            <w:r>
              <w:rPr>
                <w:rFonts w:ascii="宋体" w:hAnsi="宋体" w:eastAsia="宋体"/>
                <w:sz w:val="18"/>
              </w:rPr>
              <w:t>标识符、文本、姓名、机构、日期和分类字段标准化</w:t>
            </w:r>
          </w:p>
        </w:tc>
        <w:tc>
          <w:tcPr>
            <w:tcW w:w="2295" w:type="dxa"/>
            <w:vAlign w:val="center"/>
          </w:tcPr>
          <w:p w14:paraId="5A145FBD">
            <w:pPr>
              <w:spacing w:after="0" w:line="240" w:lineRule="auto"/>
            </w:pPr>
            <w:r>
              <w:rPr>
                <w:rFonts w:ascii="宋体" w:hAnsi="宋体" w:eastAsia="宋体"/>
                <w:sz w:val="18"/>
              </w:rPr>
              <w:t>normalized_record</w:t>
            </w:r>
          </w:p>
        </w:tc>
      </w:tr>
      <w:tr w14:paraId="16E5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00B1FF47">
            <w:pPr>
              <w:spacing w:after="0" w:line="240" w:lineRule="auto"/>
            </w:pPr>
            <w:r>
              <w:rPr>
                <w:rFonts w:ascii="宋体" w:hAnsi="宋体" w:eastAsia="宋体"/>
                <w:sz w:val="18"/>
              </w:rPr>
              <w:t>候选重复检索</w:t>
            </w:r>
          </w:p>
        </w:tc>
        <w:tc>
          <w:tcPr>
            <w:tcW w:w="2295" w:type="dxa"/>
            <w:vAlign w:val="center"/>
          </w:tcPr>
          <w:p w14:paraId="13276C00">
            <w:pPr>
              <w:spacing w:after="0" w:line="240" w:lineRule="auto"/>
            </w:pPr>
            <w:r>
              <w:rPr>
                <w:rFonts w:ascii="宋体" w:hAnsi="宋体" w:eastAsia="宋体"/>
                <w:sz w:val="18"/>
              </w:rPr>
              <w:t>normalized_record</w:t>
            </w:r>
          </w:p>
        </w:tc>
        <w:tc>
          <w:tcPr>
            <w:tcW w:w="2295" w:type="dxa"/>
            <w:vAlign w:val="center"/>
          </w:tcPr>
          <w:p w14:paraId="45845556">
            <w:pPr>
              <w:spacing w:after="0" w:line="240" w:lineRule="auto"/>
            </w:pPr>
            <w:r>
              <w:rPr>
                <w:rFonts w:ascii="宋体" w:hAnsi="宋体" w:eastAsia="宋体"/>
                <w:sz w:val="18"/>
              </w:rPr>
              <w:t>通过 DOI、公开号、题名指纹、作者等建立候选集合</w:t>
            </w:r>
          </w:p>
        </w:tc>
        <w:tc>
          <w:tcPr>
            <w:tcW w:w="2295" w:type="dxa"/>
            <w:vAlign w:val="center"/>
          </w:tcPr>
          <w:p w14:paraId="1184B973">
            <w:pPr>
              <w:spacing w:after="0" w:line="240" w:lineRule="auto"/>
            </w:pPr>
            <w:r>
              <w:rPr>
                <w:rFonts w:ascii="宋体" w:hAnsi="宋体" w:eastAsia="宋体"/>
                <w:sz w:val="18"/>
              </w:rPr>
              <w:t>candidate_pairs</w:t>
            </w:r>
          </w:p>
        </w:tc>
      </w:tr>
      <w:tr w14:paraId="22C5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07D62032">
            <w:pPr>
              <w:spacing w:after="0" w:line="240" w:lineRule="auto"/>
            </w:pPr>
            <w:r>
              <w:rPr>
                <w:rFonts w:ascii="宋体" w:hAnsi="宋体" w:eastAsia="宋体"/>
                <w:sz w:val="18"/>
              </w:rPr>
              <w:t>重复与消歧</w:t>
            </w:r>
          </w:p>
        </w:tc>
        <w:tc>
          <w:tcPr>
            <w:tcW w:w="2295" w:type="dxa"/>
            <w:vAlign w:val="center"/>
          </w:tcPr>
          <w:p w14:paraId="079EE256">
            <w:pPr>
              <w:spacing w:after="0" w:line="240" w:lineRule="auto"/>
            </w:pPr>
            <w:r>
              <w:rPr>
                <w:rFonts w:ascii="宋体" w:hAnsi="宋体" w:eastAsia="宋体"/>
                <w:sz w:val="18"/>
              </w:rPr>
              <w:t>candidate_pairs</w:t>
            </w:r>
          </w:p>
        </w:tc>
        <w:tc>
          <w:tcPr>
            <w:tcW w:w="2295" w:type="dxa"/>
            <w:vAlign w:val="center"/>
          </w:tcPr>
          <w:p w14:paraId="45425503">
            <w:pPr>
              <w:spacing w:after="0" w:line="240" w:lineRule="auto"/>
            </w:pPr>
            <w:r>
              <w:rPr>
                <w:rFonts w:ascii="宋体" w:hAnsi="宋体" w:eastAsia="宋体"/>
                <w:sz w:val="18"/>
              </w:rPr>
              <w:t>精确规则与加权评分</w:t>
            </w:r>
          </w:p>
        </w:tc>
        <w:tc>
          <w:tcPr>
            <w:tcW w:w="2295" w:type="dxa"/>
            <w:vAlign w:val="center"/>
          </w:tcPr>
          <w:p w14:paraId="5449ADB9">
            <w:pPr>
              <w:spacing w:after="0" w:line="240" w:lineRule="auto"/>
            </w:pPr>
            <w:r>
              <w:rPr>
                <w:rFonts w:ascii="宋体" w:hAnsi="宋体" w:eastAsia="宋体"/>
                <w:sz w:val="18"/>
              </w:rPr>
              <w:t>match_decision</w:t>
            </w:r>
          </w:p>
        </w:tc>
      </w:tr>
      <w:tr w14:paraId="78CE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4E32F3DE">
            <w:pPr>
              <w:spacing w:after="0" w:line="240" w:lineRule="auto"/>
            </w:pPr>
            <w:r>
              <w:rPr>
                <w:rFonts w:ascii="宋体" w:hAnsi="宋体" w:eastAsia="宋体"/>
                <w:sz w:val="18"/>
              </w:rPr>
              <w:t>字段合并</w:t>
            </w:r>
          </w:p>
        </w:tc>
        <w:tc>
          <w:tcPr>
            <w:tcW w:w="2295" w:type="dxa"/>
            <w:vAlign w:val="center"/>
          </w:tcPr>
          <w:p w14:paraId="4F9FA495">
            <w:pPr>
              <w:spacing w:after="0" w:line="240" w:lineRule="auto"/>
            </w:pPr>
            <w:r>
              <w:rPr>
                <w:rFonts w:ascii="宋体" w:hAnsi="宋体" w:eastAsia="宋体"/>
                <w:sz w:val="18"/>
              </w:rPr>
              <w:t>match_decision</w:t>
            </w:r>
          </w:p>
        </w:tc>
        <w:tc>
          <w:tcPr>
            <w:tcW w:w="2295" w:type="dxa"/>
            <w:vAlign w:val="center"/>
          </w:tcPr>
          <w:p w14:paraId="05E9C539">
            <w:pPr>
              <w:spacing w:after="0" w:line="240" w:lineRule="auto"/>
            </w:pPr>
            <w:r>
              <w:rPr>
                <w:rFonts w:ascii="宋体" w:hAnsi="宋体" w:eastAsia="宋体"/>
                <w:sz w:val="18"/>
              </w:rPr>
              <w:t>按照字段来源优先级合并主记录</w:t>
            </w:r>
          </w:p>
        </w:tc>
        <w:tc>
          <w:tcPr>
            <w:tcW w:w="2295" w:type="dxa"/>
            <w:vAlign w:val="center"/>
          </w:tcPr>
          <w:p w14:paraId="3574E94C">
            <w:pPr>
              <w:spacing w:after="0" w:line="240" w:lineRule="auto"/>
            </w:pPr>
            <w:r>
              <w:rPr>
                <w:rFonts w:ascii="宋体" w:hAnsi="宋体" w:eastAsia="宋体"/>
                <w:sz w:val="18"/>
              </w:rPr>
              <w:t>canonical_record</w:t>
            </w:r>
          </w:p>
        </w:tc>
      </w:tr>
      <w:tr w14:paraId="6BA4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3F82E84C">
            <w:pPr>
              <w:spacing w:after="0" w:line="240" w:lineRule="auto"/>
            </w:pPr>
            <w:r>
              <w:rPr>
                <w:rFonts w:ascii="宋体" w:hAnsi="宋体" w:eastAsia="宋体"/>
                <w:sz w:val="18"/>
              </w:rPr>
              <w:t>质量校验</w:t>
            </w:r>
          </w:p>
        </w:tc>
        <w:tc>
          <w:tcPr>
            <w:tcW w:w="2295" w:type="dxa"/>
            <w:vAlign w:val="center"/>
          </w:tcPr>
          <w:p w14:paraId="166BC7AC">
            <w:pPr>
              <w:spacing w:after="0" w:line="240" w:lineRule="auto"/>
            </w:pPr>
            <w:r>
              <w:rPr>
                <w:rFonts w:ascii="宋体" w:hAnsi="宋体" w:eastAsia="宋体"/>
                <w:sz w:val="18"/>
              </w:rPr>
              <w:t>canonical_record</w:t>
            </w:r>
          </w:p>
        </w:tc>
        <w:tc>
          <w:tcPr>
            <w:tcW w:w="2295" w:type="dxa"/>
            <w:vAlign w:val="center"/>
          </w:tcPr>
          <w:p w14:paraId="3EF1FE6F">
            <w:pPr>
              <w:spacing w:after="0" w:line="240" w:lineRule="auto"/>
            </w:pPr>
            <w:r>
              <w:rPr>
                <w:rFonts w:ascii="宋体" w:hAnsi="宋体" w:eastAsia="宋体"/>
                <w:sz w:val="18"/>
              </w:rPr>
              <w:t>必填项、格式、范围、一致性校验</w:t>
            </w:r>
          </w:p>
        </w:tc>
        <w:tc>
          <w:tcPr>
            <w:tcW w:w="2295" w:type="dxa"/>
            <w:vAlign w:val="center"/>
          </w:tcPr>
          <w:p w14:paraId="5AAF8F38">
            <w:pPr>
              <w:spacing w:after="0" w:line="240" w:lineRule="auto"/>
            </w:pPr>
            <w:r>
              <w:rPr>
                <w:rFonts w:ascii="宋体" w:hAnsi="宋体" w:eastAsia="宋体"/>
                <w:sz w:val="18"/>
              </w:rPr>
              <w:t>quality_result</w:t>
            </w:r>
          </w:p>
        </w:tc>
      </w:tr>
      <w:tr w14:paraId="66FC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53FD60E5">
            <w:pPr>
              <w:spacing w:after="0" w:line="240" w:lineRule="auto"/>
            </w:pPr>
            <w:r>
              <w:rPr>
                <w:rFonts w:ascii="宋体" w:hAnsi="宋体" w:eastAsia="宋体"/>
                <w:sz w:val="18"/>
              </w:rPr>
              <w:t>正式入库</w:t>
            </w:r>
          </w:p>
        </w:tc>
        <w:tc>
          <w:tcPr>
            <w:tcW w:w="2295" w:type="dxa"/>
            <w:vAlign w:val="center"/>
          </w:tcPr>
          <w:p w14:paraId="64B329B2">
            <w:pPr>
              <w:spacing w:after="0" w:line="240" w:lineRule="auto"/>
            </w:pPr>
            <w:r>
              <w:rPr>
                <w:rFonts w:ascii="宋体" w:hAnsi="宋体" w:eastAsia="宋体"/>
                <w:sz w:val="18"/>
              </w:rPr>
              <w:t>通过校验的主记录</w:t>
            </w:r>
          </w:p>
        </w:tc>
        <w:tc>
          <w:tcPr>
            <w:tcW w:w="2295" w:type="dxa"/>
            <w:vAlign w:val="center"/>
          </w:tcPr>
          <w:p w14:paraId="599BC910">
            <w:pPr>
              <w:spacing w:after="0" w:line="240" w:lineRule="auto"/>
            </w:pPr>
            <w:r>
              <w:rPr>
                <w:rFonts w:ascii="宋体" w:hAnsi="宋体" w:eastAsia="宋体"/>
                <w:sz w:val="18"/>
              </w:rPr>
              <w:t>写入成果库和来源映射表</w:t>
            </w:r>
          </w:p>
        </w:tc>
        <w:tc>
          <w:tcPr>
            <w:tcW w:w="2295" w:type="dxa"/>
            <w:vAlign w:val="center"/>
          </w:tcPr>
          <w:p w14:paraId="64847323">
            <w:pPr>
              <w:spacing w:after="0" w:line="240" w:lineRule="auto"/>
            </w:pPr>
            <w:r>
              <w:rPr>
                <w:rFonts w:ascii="宋体" w:hAnsi="宋体" w:eastAsia="宋体"/>
                <w:sz w:val="18"/>
              </w:rPr>
              <w:t>production_data</w:t>
            </w:r>
          </w:p>
        </w:tc>
      </w:tr>
      <w:tr w14:paraId="0D9C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1553EF72">
            <w:pPr>
              <w:spacing w:after="0" w:line="240" w:lineRule="auto"/>
            </w:pPr>
            <w:r>
              <w:rPr>
                <w:rFonts w:ascii="宋体" w:hAnsi="宋体" w:eastAsia="宋体"/>
                <w:sz w:val="18"/>
              </w:rPr>
              <w:t>索引更新</w:t>
            </w:r>
          </w:p>
        </w:tc>
        <w:tc>
          <w:tcPr>
            <w:tcW w:w="2295" w:type="dxa"/>
            <w:vAlign w:val="center"/>
          </w:tcPr>
          <w:p w14:paraId="16B75328">
            <w:pPr>
              <w:spacing w:after="0" w:line="240" w:lineRule="auto"/>
            </w:pPr>
            <w:r>
              <w:rPr>
                <w:rFonts w:ascii="宋体" w:hAnsi="宋体" w:eastAsia="宋体"/>
                <w:sz w:val="18"/>
              </w:rPr>
              <w:t>production_data</w:t>
            </w:r>
          </w:p>
        </w:tc>
        <w:tc>
          <w:tcPr>
            <w:tcW w:w="2295" w:type="dxa"/>
            <w:vAlign w:val="center"/>
          </w:tcPr>
          <w:p w14:paraId="6ED12A8D">
            <w:pPr>
              <w:spacing w:after="0" w:line="240" w:lineRule="auto"/>
            </w:pPr>
            <w:r>
              <w:rPr>
                <w:rFonts w:ascii="宋体" w:hAnsi="宋体" w:eastAsia="宋体"/>
                <w:sz w:val="18"/>
              </w:rPr>
              <w:t>构建检索字段和聚合字段</w:t>
            </w:r>
          </w:p>
        </w:tc>
        <w:tc>
          <w:tcPr>
            <w:tcW w:w="2295" w:type="dxa"/>
            <w:vAlign w:val="center"/>
          </w:tcPr>
          <w:p w14:paraId="51B53241">
            <w:pPr>
              <w:spacing w:after="0" w:line="240" w:lineRule="auto"/>
            </w:pPr>
            <w:r>
              <w:rPr>
                <w:rFonts w:ascii="宋体" w:hAnsi="宋体" w:eastAsia="宋体"/>
                <w:sz w:val="18"/>
              </w:rPr>
              <w:t>search_index</w:t>
            </w:r>
          </w:p>
        </w:tc>
      </w:tr>
    </w:tbl>
    <w:p w14:paraId="64656133"/>
    <w:p w14:paraId="44EC0F92">
      <w:pPr>
        <w:pStyle w:val="4"/>
      </w:pPr>
      <w:r>
        <w:t>3.1 来源追踪字段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0670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6670383F">
            <w:pPr>
              <w:spacing w:after="0" w:line="240" w:lineRule="auto"/>
            </w:pPr>
            <w:r>
              <w:rPr>
                <w:rFonts w:ascii="宋体" w:hAnsi="宋体" w:eastAsia="宋体"/>
                <w:b/>
                <w:sz w:val="19"/>
              </w:rPr>
              <w:t>字段</w:t>
            </w:r>
          </w:p>
        </w:tc>
        <w:tc>
          <w:tcPr>
            <w:tcW w:w="4589" w:type="dxa"/>
            <w:shd w:val="clear" w:color="auto" w:fill="D9EAF7"/>
            <w:vAlign w:val="center"/>
          </w:tcPr>
          <w:p w14:paraId="6EC10B99">
            <w:pPr>
              <w:spacing w:after="0" w:line="240" w:lineRule="auto"/>
            </w:pPr>
            <w:r>
              <w:rPr>
                <w:rFonts w:ascii="宋体" w:hAnsi="宋体" w:eastAsia="宋体"/>
                <w:b/>
                <w:sz w:val="19"/>
              </w:rPr>
              <w:t>含义</w:t>
            </w:r>
          </w:p>
        </w:tc>
      </w:tr>
      <w:tr w14:paraId="4080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422B373">
            <w:pPr>
              <w:spacing w:after="0" w:line="240" w:lineRule="auto"/>
            </w:pPr>
            <w:r>
              <w:rPr>
                <w:rFonts w:ascii="宋体" w:hAnsi="宋体" w:eastAsia="宋体"/>
                <w:sz w:val="18"/>
              </w:rPr>
              <w:t>source_name</w:t>
            </w:r>
          </w:p>
        </w:tc>
        <w:tc>
          <w:tcPr>
            <w:tcW w:w="4589" w:type="dxa"/>
            <w:vAlign w:val="center"/>
          </w:tcPr>
          <w:p w14:paraId="1075A31E">
            <w:pPr>
              <w:spacing w:after="0" w:line="240" w:lineRule="auto"/>
            </w:pPr>
            <w:r>
              <w:rPr>
                <w:rFonts w:ascii="宋体" w:hAnsi="宋体" w:eastAsia="宋体"/>
                <w:sz w:val="18"/>
              </w:rPr>
              <w:t>数据来源名称，例如 OpenAlex、DBLP、Crossref、CNIPA、CCF</w:t>
            </w:r>
          </w:p>
        </w:tc>
      </w:tr>
      <w:tr w14:paraId="7B13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1AAFD24">
            <w:pPr>
              <w:spacing w:after="0" w:line="240" w:lineRule="auto"/>
            </w:pPr>
            <w:r>
              <w:rPr>
                <w:rFonts w:ascii="宋体" w:hAnsi="宋体" w:eastAsia="宋体"/>
                <w:sz w:val="18"/>
              </w:rPr>
              <w:t>source_record_id</w:t>
            </w:r>
          </w:p>
        </w:tc>
        <w:tc>
          <w:tcPr>
            <w:tcW w:w="4589" w:type="dxa"/>
            <w:vAlign w:val="center"/>
          </w:tcPr>
          <w:p w14:paraId="48DF69A4">
            <w:pPr>
              <w:spacing w:after="0" w:line="240" w:lineRule="auto"/>
            </w:pPr>
            <w:r>
              <w:rPr>
                <w:rFonts w:ascii="宋体" w:hAnsi="宋体" w:eastAsia="宋体"/>
                <w:sz w:val="18"/>
              </w:rPr>
              <w:t>来源平台中的唯一记录标识</w:t>
            </w:r>
          </w:p>
        </w:tc>
      </w:tr>
      <w:tr w14:paraId="6837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C3EDEAC">
            <w:pPr>
              <w:spacing w:after="0" w:line="240" w:lineRule="auto"/>
            </w:pPr>
            <w:r>
              <w:rPr>
                <w:rFonts w:ascii="宋体" w:hAnsi="宋体" w:eastAsia="宋体"/>
                <w:sz w:val="18"/>
              </w:rPr>
              <w:t>source_url</w:t>
            </w:r>
          </w:p>
        </w:tc>
        <w:tc>
          <w:tcPr>
            <w:tcW w:w="4589" w:type="dxa"/>
            <w:vAlign w:val="center"/>
          </w:tcPr>
          <w:p w14:paraId="1F866B3B">
            <w:pPr>
              <w:spacing w:after="0" w:line="240" w:lineRule="auto"/>
            </w:pPr>
            <w:r>
              <w:rPr>
                <w:rFonts w:ascii="宋体" w:hAnsi="宋体" w:eastAsia="宋体"/>
                <w:sz w:val="18"/>
              </w:rPr>
              <w:t>来源页面或 API 资源地址</w:t>
            </w:r>
          </w:p>
        </w:tc>
      </w:tr>
      <w:tr w14:paraId="0C69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5903109D">
            <w:pPr>
              <w:spacing w:after="0" w:line="240" w:lineRule="auto"/>
            </w:pPr>
            <w:r>
              <w:rPr>
                <w:rFonts w:ascii="宋体" w:hAnsi="宋体" w:eastAsia="宋体"/>
                <w:sz w:val="18"/>
              </w:rPr>
              <w:t>fetched_at</w:t>
            </w:r>
          </w:p>
        </w:tc>
        <w:tc>
          <w:tcPr>
            <w:tcW w:w="4589" w:type="dxa"/>
            <w:vAlign w:val="center"/>
          </w:tcPr>
          <w:p w14:paraId="3D6DC01F">
            <w:pPr>
              <w:spacing w:after="0" w:line="240" w:lineRule="auto"/>
            </w:pPr>
            <w:r>
              <w:rPr>
                <w:rFonts w:ascii="宋体" w:hAnsi="宋体" w:eastAsia="宋体"/>
                <w:sz w:val="18"/>
              </w:rPr>
              <w:t>最近采集时间</w:t>
            </w:r>
          </w:p>
        </w:tc>
      </w:tr>
      <w:tr w14:paraId="3A4F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4BACB07">
            <w:pPr>
              <w:spacing w:after="0" w:line="240" w:lineRule="auto"/>
            </w:pPr>
            <w:r>
              <w:rPr>
                <w:rFonts w:ascii="宋体" w:hAnsi="宋体" w:eastAsia="宋体"/>
                <w:sz w:val="18"/>
              </w:rPr>
              <w:t>source_updated_at</w:t>
            </w:r>
          </w:p>
        </w:tc>
        <w:tc>
          <w:tcPr>
            <w:tcW w:w="4589" w:type="dxa"/>
            <w:vAlign w:val="center"/>
          </w:tcPr>
          <w:p w14:paraId="07560683">
            <w:pPr>
              <w:spacing w:after="0" w:line="240" w:lineRule="auto"/>
            </w:pPr>
            <w:r>
              <w:rPr>
                <w:rFonts w:ascii="宋体" w:hAnsi="宋体" w:eastAsia="宋体"/>
                <w:sz w:val="18"/>
              </w:rPr>
              <w:t>来源平台提供的最近更新时间</w:t>
            </w:r>
          </w:p>
        </w:tc>
      </w:tr>
      <w:tr w14:paraId="111D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F469A1D">
            <w:pPr>
              <w:spacing w:after="0" w:line="240" w:lineRule="auto"/>
            </w:pPr>
            <w:r>
              <w:rPr>
                <w:rFonts w:ascii="宋体" w:hAnsi="宋体" w:eastAsia="宋体"/>
                <w:sz w:val="18"/>
              </w:rPr>
              <w:t>raw_checksum</w:t>
            </w:r>
          </w:p>
        </w:tc>
        <w:tc>
          <w:tcPr>
            <w:tcW w:w="4589" w:type="dxa"/>
            <w:vAlign w:val="center"/>
          </w:tcPr>
          <w:p w14:paraId="19B07B53">
            <w:pPr>
              <w:spacing w:after="0" w:line="240" w:lineRule="auto"/>
            </w:pPr>
            <w:r>
              <w:rPr>
                <w:rFonts w:ascii="宋体" w:hAnsi="宋体" w:eastAsia="宋体"/>
                <w:sz w:val="18"/>
              </w:rPr>
              <w:t>原始数据内容校验值，用于识别来源记录是否发生变化</w:t>
            </w:r>
          </w:p>
        </w:tc>
      </w:tr>
      <w:tr w14:paraId="5105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1324357">
            <w:pPr>
              <w:spacing w:after="0" w:line="240" w:lineRule="auto"/>
            </w:pPr>
            <w:r>
              <w:rPr>
                <w:rFonts w:ascii="宋体" w:hAnsi="宋体" w:eastAsia="宋体"/>
                <w:sz w:val="18"/>
              </w:rPr>
              <w:t>parser_version</w:t>
            </w:r>
          </w:p>
        </w:tc>
        <w:tc>
          <w:tcPr>
            <w:tcW w:w="4589" w:type="dxa"/>
            <w:vAlign w:val="center"/>
          </w:tcPr>
          <w:p w14:paraId="4AF83C5B">
            <w:pPr>
              <w:spacing w:after="0" w:line="240" w:lineRule="auto"/>
            </w:pPr>
            <w:r>
              <w:rPr>
                <w:rFonts w:ascii="宋体" w:hAnsi="宋体" w:eastAsia="宋体"/>
                <w:sz w:val="18"/>
              </w:rPr>
              <w:t>来源解析程序版本</w:t>
            </w:r>
          </w:p>
        </w:tc>
      </w:tr>
      <w:tr w14:paraId="4974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3C3E3C2">
            <w:pPr>
              <w:spacing w:after="0" w:line="240" w:lineRule="auto"/>
            </w:pPr>
            <w:r>
              <w:rPr>
                <w:rFonts w:ascii="宋体" w:hAnsi="宋体" w:eastAsia="宋体"/>
                <w:sz w:val="18"/>
              </w:rPr>
              <w:t>canonical_entity_id</w:t>
            </w:r>
          </w:p>
        </w:tc>
        <w:tc>
          <w:tcPr>
            <w:tcW w:w="4589" w:type="dxa"/>
            <w:vAlign w:val="center"/>
          </w:tcPr>
          <w:p w14:paraId="2B0AB9FB">
            <w:pPr>
              <w:spacing w:after="0" w:line="240" w:lineRule="auto"/>
            </w:pPr>
            <w:r>
              <w:rPr>
                <w:rFonts w:ascii="宋体" w:hAnsi="宋体" w:eastAsia="宋体"/>
                <w:sz w:val="18"/>
              </w:rPr>
              <w:t>规范化后的成果、作者或机构实体标识</w:t>
            </w:r>
          </w:p>
        </w:tc>
      </w:tr>
      <w:tr w14:paraId="0106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0CA0652">
            <w:pPr>
              <w:spacing w:after="0" w:line="240" w:lineRule="auto"/>
            </w:pPr>
            <w:r>
              <w:rPr>
                <w:rFonts w:ascii="宋体" w:hAnsi="宋体" w:eastAsia="宋体"/>
                <w:sz w:val="18"/>
              </w:rPr>
              <w:t>field_provenance</w:t>
            </w:r>
          </w:p>
        </w:tc>
        <w:tc>
          <w:tcPr>
            <w:tcW w:w="4589" w:type="dxa"/>
            <w:vAlign w:val="center"/>
          </w:tcPr>
          <w:p w14:paraId="026CF03D">
            <w:pPr>
              <w:spacing w:after="0" w:line="240" w:lineRule="auto"/>
            </w:pPr>
            <w:r>
              <w:rPr>
                <w:rFonts w:ascii="宋体" w:hAnsi="宋体" w:eastAsia="宋体"/>
                <w:sz w:val="18"/>
              </w:rPr>
              <w:t>主记录每个字段对应的来源记录和选值依据</w:t>
            </w:r>
          </w:p>
        </w:tc>
      </w:tr>
    </w:tbl>
    <w:p w14:paraId="7CC39041"/>
    <w:p w14:paraId="7C6F84CB">
      <w:pPr>
        <w:pStyle w:val="3"/>
      </w:pPr>
      <w:r>
        <w:t>4. 数据清洗规则</w:t>
      </w:r>
    </w:p>
    <w:p w14:paraId="5D7A558D">
      <w:r>
        <w:t>以下规则作为 SPEC-DATA-01《数据清洗规范》的主体内容。所有清洗操作保留原始值，并且将规范化值写入独立字段。</w:t>
      </w:r>
    </w:p>
    <w:p w14:paraId="69CEAD32">
      <w:pPr>
        <w:pStyle w:val="4"/>
      </w:pPr>
      <w:r>
        <w:t>4.1 通用文本清洗规则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5"/>
        <w:gridCol w:w="2295"/>
        <w:gridCol w:w="2295"/>
        <w:gridCol w:w="2295"/>
      </w:tblGrid>
      <w:tr w14:paraId="13DA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95" w:type="dxa"/>
            <w:shd w:val="clear" w:color="auto" w:fill="D9EAF7"/>
            <w:vAlign w:val="center"/>
          </w:tcPr>
          <w:p w14:paraId="2BEED7AC">
            <w:pPr>
              <w:spacing w:after="0" w:line="240" w:lineRule="auto"/>
            </w:pPr>
            <w:r>
              <w:rPr>
                <w:rFonts w:ascii="宋体" w:hAnsi="宋体" w:eastAsia="宋体"/>
                <w:b/>
                <w:sz w:val="19"/>
              </w:rPr>
              <w:t>规则编号</w:t>
            </w:r>
          </w:p>
        </w:tc>
        <w:tc>
          <w:tcPr>
            <w:tcW w:w="2295" w:type="dxa"/>
            <w:shd w:val="clear" w:color="auto" w:fill="D9EAF7"/>
            <w:vAlign w:val="center"/>
          </w:tcPr>
          <w:p w14:paraId="69BD59B5">
            <w:pPr>
              <w:spacing w:after="0" w:line="240" w:lineRule="auto"/>
            </w:pPr>
            <w:r>
              <w:rPr>
                <w:rFonts w:ascii="宋体" w:hAnsi="宋体" w:eastAsia="宋体"/>
                <w:b/>
                <w:sz w:val="19"/>
              </w:rPr>
              <w:t>字段</w:t>
            </w:r>
          </w:p>
        </w:tc>
        <w:tc>
          <w:tcPr>
            <w:tcW w:w="2295" w:type="dxa"/>
            <w:shd w:val="clear" w:color="auto" w:fill="D9EAF7"/>
            <w:vAlign w:val="center"/>
          </w:tcPr>
          <w:p w14:paraId="68BF13F0">
            <w:pPr>
              <w:spacing w:after="0" w:line="240" w:lineRule="auto"/>
            </w:pPr>
            <w:r>
              <w:rPr>
                <w:rFonts w:ascii="宋体" w:hAnsi="宋体" w:eastAsia="宋体"/>
                <w:b/>
                <w:sz w:val="19"/>
              </w:rPr>
              <w:t>处理规则</w:t>
            </w:r>
          </w:p>
        </w:tc>
        <w:tc>
          <w:tcPr>
            <w:tcW w:w="2295" w:type="dxa"/>
            <w:shd w:val="clear" w:color="auto" w:fill="D9EAF7"/>
            <w:vAlign w:val="center"/>
          </w:tcPr>
          <w:p w14:paraId="02469680">
            <w:pPr>
              <w:spacing w:after="0" w:line="240" w:lineRule="auto"/>
            </w:pPr>
            <w:r>
              <w:rPr>
                <w:rFonts w:ascii="宋体" w:hAnsi="宋体" w:eastAsia="宋体"/>
                <w:b/>
                <w:sz w:val="19"/>
              </w:rPr>
              <w:t>示例</w:t>
            </w:r>
          </w:p>
        </w:tc>
      </w:tr>
      <w:tr w14:paraId="7716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58B9BAB2">
            <w:pPr>
              <w:spacing w:after="0" w:line="240" w:lineRule="auto"/>
            </w:pPr>
            <w:r>
              <w:rPr>
                <w:rFonts w:ascii="宋体" w:hAnsi="宋体" w:eastAsia="宋体"/>
                <w:sz w:val="18"/>
              </w:rPr>
              <w:t>CLN-TXT-01</w:t>
            </w:r>
          </w:p>
        </w:tc>
        <w:tc>
          <w:tcPr>
            <w:tcW w:w="2295" w:type="dxa"/>
            <w:vAlign w:val="center"/>
          </w:tcPr>
          <w:p w14:paraId="14102096">
            <w:pPr>
              <w:spacing w:after="0" w:line="240" w:lineRule="auto"/>
            </w:pPr>
            <w:r>
              <w:rPr>
                <w:rFonts w:ascii="宋体" w:hAnsi="宋体" w:eastAsia="宋体"/>
                <w:sz w:val="18"/>
              </w:rPr>
              <w:t>全部文本</w:t>
            </w:r>
          </w:p>
        </w:tc>
        <w:tc>
          <w:tcPr>
            <w:tcW w:w="2295" w:type="dxa"/>
            <w:vAlign w:val="center"/>
          </w:tcPr>
          <w:p w14:paraId="095DD382">
            <w:pPr>
              <w:spacing w:after="0" w:line="240" w:lineRule="auto"/>
            </w:pPr>
            <w:r>
              <w:rPr>
                <w:rFonts w:ascii="宋体" w:hAnsi="宋体" w:eastAsia="宋体"/>
                <w:sz w:val="18"/>
              </w:rPr>
              <w:t>执行 Unicode NFC 规范化；统一不可见空白字符；连续空白压缩为一个半角空格；删除首尾空白</w:t>
            </w:r>
          </w:p>
        </w:tc>
        <w:tc>
          <w:tcPr>
            <w:tcW w:w="2295" w:type="dxa"/>
            <w:vAlign w:val="center"/>
          </w:tcPr>
          <w:p w14:paraId="14E85345">
            <w:pPr>
              <w:spacing w:after="0" w:line="240" w:lineRule="auto"/>
            </w:pPr>
            <w:r>
              <w:rPr>
                <w:rFonts w:ascii="宋体" w:hAnsi="宋体" w:eastAsia="宋体"/>
                <w:sz w:val="18"/>
              </w:rPr>
              <w:t>“Deep  Learning ” → “Deep Learning”</w:t>
            </w:r>
          </w:p>
        </w:tc>
      </w:tr>
      <w:tr w14:paraId="27EE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1BBAB2DE">
            <w:pPr>
              <w:spacing w:after="0" w:line="240" w:lineRule="auto"/>
            </w:pPr>
            <w:r>
              <w:rPr>
                <w:rFonts w:ascii="宋体" w:hAnsi="宋体" w:eastAsia="宋体"/>
                <w:sz w:val="18"/>
              </w:rPr>
              <w:t>CLN-TXT-02</w:t>
            </w:r>
          </w:p>
        </w:tc>
        <w:tc>
          <w:tcPr>
            <w:tcW w:w="2295" w:type="dxa"/>
            <w:vAlign w:val="center"/>
          </w:tcPr>
          <w:p w14:paraId="0C12A6DF">
            <w:pPr>
              <w:spacing w:after="0" w:line="240" w:lineRule="auto"/>
            </w:pPr>
            <w:r>
              <w:rPr>
                <w:rFonts w:ascii="宋体" w:hAnsi="宋体" w:eastAsia="宋体"/>
                <w:sz w:val="18"/>
              </w:rPr>
              <w:t>比较用文本</w:t>
            </w:r>
          </w:p>
        </w:tc>
        <w:tc>
          <w:tcPr>
            <w:tcW w:w="2295" w:type="dxa"/>
            <w:vAlign w:val="center"/>
          </w:tcPr>
          <w:p w14:paraId="0C326EF9">
            <w:pPr>
              <w:spacing w:after="0" w:line="240" w:lineRule="auto"/>
            </w:pPr>
            <w:r>
              <w:rPr>
                <w:rFonts w:ascii="宋体" w:hAnsi="宋体" w:eastAsia="宋体"/>
                <w:sz w:val="18"/>
              </w:rPr>
              <w:t>生成独立的 normalized 字段；英文转换为小写；统一全角与半角字符；统一常见连接符和引号；保留展示字段原文</w:t>
            </w:r>
          </w:p>
        </w:tc>
        <w:tc>
          <w:tcPr>
            <w:tcW w:w="2295" w:type="dxa"/>
            <w:vAlign w:val="center"/>
          </w:tcPr>
          <w:p w14:paraId="23B14E7C">
            <w:pPr>
              <w:spacing w:after="0" w:line="240" w:lineRule="auto"/>
            </w:pPr>
            <w:r>
              <w:rPr>
                <w:rFonts w:ascii="宋体" w:hAnsi="宋体" w:eastAsia="宋体"/>
                <w:sz w:val="18"/>
              </w:rPr>
              <w:t>“Graph-Based” → “graph-based”</w:t>
            </w:r>
          </w:p>
        </w:tc>
      </w:tr>
      <w:tr w14:paraId="387C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2EBCF387">
            <w:pPr>
              <w:spacing w:after="0" w:line="240" w:lineRule="auto"/>
            </w:pPr>
            <w:r>
              <w:rPr>
                <w:rFonts w:ascii="宋体" w:hAnsi="宋体" w:eastAsia="宋体"/>
                <w:sz w:val="18"/>
              </w:rPr>
              <w:t>CLN-TXT-03</w:t>
            </w:r>
          </w:p>
        </w:tc>
        <w:tc>
          <w:tcPr>
            <w:tcW w:w="2295" w:type="dxa"/>
            <w:vAlign w:val="center"/>
          </w:tcPr>
          <w:p w14:paraId="7F08089B">
            <w:pPr>
              <w:spacing w:after="0" w:line="240" w:lineRule="auto"/>
            </w:pPr>
            <w:r>
              <w:rPr>
                <w:rFonts w:ascii="宋体" w:hAnsi="宋体" w:eastAsia="宋体"/>
                <w:sz w:val="18"/>
              </w:rPr>
              <w:t>题名</w:t>
            </w:r>
          </w:p>
        </w:tc>
        <w:tc>
          <w:tcPr>
            <w:tcW w:w="2295" w:type="dxa"/>
            <w:vAlign w:val="center"/>
          </w:tcPr>
          <w:p w14:paraId="4BAA4034">
            <w:pPr>
              <w:spacing w:after="0" w:line="240" w:lineRule="auto"/>
            </w:pPr>
            <w:r>
              <w:rPr>
                <w:rFonts w:ascii="宋体" w:hAnsi="宋体" w:eastAsia="宋体"/>
                <w:sz w:val="18"/>
              </w:rPr>
              <w:t>比较字段删除句末句号；统一 HTML 实体；保留数学公式和有语义作用的符号</w:t>
            </w:r>
          </w:p>
        </w:tc>
        <w:tc>
          <w:tcPr>
            <w:tcW w:w="2295" w:type="dxa"/>
            <w:vAlign w:val="center"/>
          </w:tcPr>
          <w:p w14:paraId="05A7222C">
            <w:pPr>
              <w:spacing w:after="0" w:line="240" w:lineRule="auto"/>
            </w:pPr>
            <w:r>
              <w:rPr>
                <w:rFonts w:ascii="宋体" w:hAnsi="宋体" w:eastAsia="宋体"/>
                <w:sz w:val="18"/>
              </w:rPr>
              <w:t>“A Study of X.” → “a study of x”</w:t>
            </w:r>
          </w:p>
        </w:tc>
      </w:tr>
      <w:tr w14:paraId="6D86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62959EFE">
            <w:pPr>
              <w:spacing w:after="0" w:line="240" w:lineRule="auto"/>
            </w:pPr>
            <w:r>
              <w:rPr>
                <w:rFonts w:ascii="宋体" w:hAnsi="宋体" w:eastAsia="宋体"/>
                <w:sz w:val="18"/>
              </w:rPr>
              <w:t>CLN-TXT-04</w:t>
            </w:r>
          </w:p>
        </w:tc>
        <w:tc>
          <w:tcPr>
            <w:tcW w:w="2295" w:type="dxa"/>
            <w:vAlign w:val="center"/>
          </w:tcPr>
          <w:p w14:paraId="4DDFC7C4">
            <w:pPr>
              <w:spacing w:after="0" w:line="240" w:lineRule="auto"/>
            </w:pPr>
            <w:r>
              <w:rPr>
                <w:rFonts w:ascii="宋体" w:hAnsi="宋体" w:eastAsia="宋体"/>
                <w:sz w:val="18"/>
              </w:rPr>
              <w:t>摘要</w:t>
            </w:r>
          </w:p>
        </w:tc>
        <w:tc>
          <w:tcPr>
            <w:tcW w:w="2295" w:type="dxa"/>
            <w:vAlign w:val="center"/>
          </w:tcPr>
          <w:p w14:paraId="024442D3">
            <w:pPr>
              <w:spacing w:after="0" w:line="240" w:lineRule="auto"/>
            </w:pPr>
            <w:r>
              <w:rPr>
                <w:rFonts w:ascii="宋体" w:hAnsi="宋体" w:eastAsia="宋体"/>
                <w:sz w:val="18"/>
              </w:rPr>
              <w:t>清理 HTML 标签和脚本内容；保留段落文本；记录原始来源许可信息</w:t>
            </w:r>
          </w:p>
        </w:tc>
        <w:tc>
          <w:tcPr>
            <w:tcW w:w="2295" w:type="dxa"/>
            <w:vAlign w:val="center"/>
          </w:tcPr>
          <w:p w14:paraId="34F90DE4">
            <w:pPr>
              <w:spacing w:after="0" w:line="240" w:lineRule="auto"/>
            </w:pPr>
            <w:r>
              <w:rPr>
                <w:rFonts w:ascii="宋体" w:hAnsi="宋体" w:eastAsia="宋体"/>
                <w:sz w:val="18"/>
              </w:rPr>
              <w:t>HTML 摘要 → 纯文本摘要</w:t>
            </w:r>
          </w:p>
        </w:tc>
      </w:tr>
      <w:tr w14:paraId="4080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37B46A40">
            <w:pPr>
              <w:spacing w:after="0" w:line="240" w:lineRule="auto"/>
            </w:pPr>
            <w:r>
              <w:rPr>
                <w:rFonts w:ascii="宋体" w:hAnsi="宋体" w:eastAsia="宋体"/>
                <w:sz w:val="18"/>
              </w:rPr>
              <w:t>CLN-TXT-05</w:t>
            </w:r>
          </w:p>
        </w:tc>
        <w:tc>
          <w:tcPr>
            <w:tcW w:w="2295" w:type="dxa"/>
            <w:vAlign w:val="center"/>
          </w:tcPr>
          <w:p w14:paraId="6415D4CC">
            <w:pPr>
              <w:spacing w:after="0" w:line="240" w:lineRule="auto"/>
            </w:pPr>
            <w:r>
              <w:rPr>
                <w:rFonts w:ascii="宋体" w:hAnsi="宋体" w:eastAsia="宋体"/>
                <w:sz w:val="18"/>
              </w:rPr>
              <w:t>关键词</w:t>
            </w:r>
          </w:p>
        </w:tc>
        <w:tc>
          <w:tcPr>
            <w:tcW w:w="2295" w:type="dxa"/>
            <w:vAlign w:val="center"/>
          </w:tcPr>
          <w:p w14:paraId="58AA0190">
            <w:pPr>
              <w:spacing w:after="0" w:line="240" w:lineRule="auto"/>
            </w:pPr>
            <w:r>
              <w:rPr>
                <w:rFonts w:ascii="宋体" w:hAnsi="宋体" w:eastAsia="宋体"/>
                <w:sz w:val="18"/>
              </w:rPr>
              <w:t>分隔符统一；删除空项；按规范化形式去重；保留原始大小写的展示值</w:t>
            </w:r>
          </w:p>
        </w:tc>
        <w:tc>
          <w:tcPr>
            <w:tcW w:w="2295" w:type="dxa"/>
            <w:vAlign w:val="center"/>
          </w:tcPr>
          <w:p w14:paraId="3D7EF6E9">
            <w:pPr>
              <w:spacing w:after="0" w:line="240" w:lineRule="auto"/>
            </w:pPr>
            <w:r>
              <w:rPr>
                <w:rFonts w:ascii="宋体" w:hAnsi="宋体" w:eastAsia="宋体"/>
                <w:sz w:val="18"/>
              </w:rPr>
              <w:t>AI; ai；LLM → AI, LLM</w:t>
            </w:r>
          </w:p>
        </w:tc>
      </w:tr>
    </w:tbl>
    <w:p w14:paraId="51A47C12"/>
    <w:p w14:paraId="2B5205CF">
      <w:pPr>
        <w:pStyle w:val="4"/>
      </w:pPr>
      <w:r>
        <w:t>4.2 标识符清洗规则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60"/>
        <w:gridCol w:w="3060"/>
      </w:tblGrid>
      <w:tr w14:paraId="6B05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0" w:type="dxa"/>
            <w:shd w:val="clear" w:color="auto" w:fill="D9EAF7"/>
            <w:vAlign w:val="center"/>
          </w:tcPr>
          <w:p w14:paraId="2D35566E">
            <w:pPr>
              <w:spacing w:after="0" w:line="240" w:lineRule="auto"/>
            </w:pPr>
            <w:r>
              <w:rPr>
                <w:rFonts w:ascii="宋体" w:hAnsi="宋体" w:eastAsia="宋体"/>
                <w:b/>
                <w:sz w:val="19"/>
              </w:rPr>
              <w:t>规则编号</w:t>
            </w:r>
          </w:p>
        </w:tc>
        <w:tc>
          <w:tcPr>
            <w:tcW w:w="3060" w:type="dxa"/>
            <w:shd w:val="clear" w:color="auto" w:fill="D9EAF7"/>
            <w:vAlign w:val="center"/>
          </w:tcPr>
          <w:p w14:paraId="3589170B">
            <w:pPr>
              <w:spacing w:after="0" w:line="240" w:lineRule="auto"/>
            </w:pPr>
            <w:r>
              <w:rPr>
                <w:rFonts w:ascii="宋体" w:hAnsi="宋体" w:eastAsia="宋体"/>
                <w:b/>
                <w:sz w:val="19"/>
              </w:rPr>
              <w:t>标识符</w:t>
            </w:r>
          </w:p>
        </w:tc>
        <w:tc>
          <w:tcPr>
            <w:tcW w:w="3060" w:type="dxa"/>
            <w:shd w:val="clear" w:color="auto" w:fill="D9EAF7"/>
            <w:vAlign w:val="center"/>
          </w:tcPr>
          <w:p w14:paraId="625228A6">
            <w:pPr>
              <w:spacing w:after="0" w:line="240" w:lineRule="auto"/>
            </w:pPr>
            <w:r>
              <w:rPr>
                <w:rFonts w:ascii="宋体" w:hAnsi="宋体" w:eastAsia="宋体"/>
                <w:b/>
                <w:sz w:val="19"/>
              </w:rPr>
              <w:t>处理规则</w:t>
            </w:r>
          </w:p>
        </w:tc>
      </w:tr>
      <w:tr w14:paraId="788D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4D8D363A">
            <w:pPr>
              <w:spacing w:after="0" w:line="240" w:lineRule="auto"/>
            </w:pPr>
            <w:r>
              <w:rPr>
                <w:rFonts w:ascii="宋体" w:hAnsi="宋体" w:eastAsia="宋体"/>
                <w:sz w:val="18"/>
              </w:rPr>
              <w:t>CLN-ID-01</w:t>
            </w:r>
          </w:p>
        </w:tc>
        <w:tc>
          <w:tcPr>
            <w:tcW w:w="3060" w:type="dxa"/>
            <w:vAlign w:val="center"/>
          </w:tcPr>
          <w:p w14:paraId="4C2998E1">
            <w:pPr>
              <w:spacing w:after="0" w:line="240" w:lineRule="auto"/>
            </w:pPr>
            <w:r>
              <w:rPr>
                <w:rFonts w:ascii="宋体" w:hAnsi="宋体" w:eastAsia="宋体"/>
                <w:sz w:val="18"/>
              </w:rPr>
              <w:t>DOI</w:t>
            </w:r>
          </w:p>
        </w:tc>
        <w:tc>
          <w:tcPr>
            <w:tcW w:w="3060" w:type="dxa"/>
            <w:vAlign w:val="center"/>
          </w:tcPr>
          <w:p w14:paraId="6B67BDDB">
            <w:pPr>
              <w:spacing w:after="0" w:line="240" w:lineRule="auto"/>
            </w:pPr>
            <w:r>
              <w:rPr>
                <w:rFonts w:ascii="宋体" w:hAnsi="宋体" w:eastAsia="宋体"/>
                <w:sz w:val="18"/>
              </w:rPr>
              <w:t>转换为小写；删除 doi:、https://doi.org/、http://dx.doi.org/ 等前缀；删除首尾空白；保存 DOI 主体</w:t>
            </w:r>
          </w:p>
        </w:tc>
      </w:tr>
      <w:tr w14:paraId="3B6C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7423D9D7">
            <w:pPr>
              <w:spacing w:after="0" w:line="240" w:lineRule="auto"/>
            </w:pPr>
            <w:r>
              <w:rPr>
                <w:rFonts w:ascii="宋体" w:hAnsi="宋体" w:eastAsia="宋体"/>
                <w:sz w:val="18"/>
              </w:rPr>
              <w:t>CLN-ID-02</w:t>
            </w:r>
          </w:p>
        </w:tc>
        <w:tc>
          <w:tcPr>
            <w:tcW w:w="3060" w:type="dxa"/>
            <w:vAlign w:val="center"/>
          </w:tcPr>
          <w:p w14:paraId="1431B897">
            <w:pPr>
              <w:spacing w:after="0" w:line="240" w:lineRule="auto"/>
            </w:pPr>
            <w:r>
              <w:rPr>
                <w:rFonts w:ascii="宋体" w:hAnsi="宋体" w:eastAsia="宋体"/>
                <w:sz w:val="18"/>
              </w:rPr>
              <w:t>ORCID</w:t>
            </w:r>
          </w:p>
        </w:tc>
        <w:tc>
          <w:tcPr>
            <w:tcW w:w="3060" w:type="dxa"/>
            <w:vAlign w:val="center"/>
          </w:tcPr>
          <w:p w14:paraId="0463F72B">
            <w:pPr>
              <w:spacing w:after="0" w:line="240" w:lineRule="auto"/>
            </w:pPr>
            <w:r>
              <w:rPr>
                <w:rFonts w:ascii="宋体" w:hAnsi="宋体" w:eastAsia="宋体"/>
                <w:sz w:val="18"/>
              </w:rPr>
              <w:t>转换为标准 0000-0000-0000-0000 形式；执行校验位验证；验证失败的值进入异常队列</w:t>
            </w:r>
          </w:p>
        </w:tc>
      </w:tr>
      <w:tr w14:paraId="0B8B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52943715">
            <w:pPr>
              <w:spacing w:after="0" w:line="240" w:lineRule="auto"/>
            </w:pPr>
            <w:r>
              <w:rPr>
                <w:rFonts w:ascii="宋体" w:hAnsi="宋体" w:eastAsia="宋体"/>
                <w:sz w:val="18"/>
              </w:rPr>
              <w:t>CLN-ID-03</w:t>
            </w:r>
          </w:p>
        </w:tc>
        <w:tc>
          <w:tcPr>
            <w:tcW w:w="3060" w:type="dxa"/>
            <w:vAlign w:val="center"/>
          </w:tcPr>
          <w:p w14:paraId="4A239173">
            <w:pPr>
              <w:spacing w:after="0" w:line="240" w:lineRule="auto"/>
            </w:pPr>
            <w:r>
              <w:rPr>
                <w:rFonts w:ascii="宋体" w:hAnsi="宋体" w:eastAsia="宋体"/>
                <w:sz w:val="18"/>
              </w:rPr>
              <w:t>ROR</w:t>
            </w:r>
          </w:p>
        </w:tc>
        <w:tc>
          <w:tcPr>
            <w:tcW w:w="3060" w:type="dxa"/>
            <w:vAlign w:val="center"/>
          </w:tcPr>
          <w:p w14:paraId="458E31E4">
            <w:pPr>
              <w:spacing w:after="0" w:line="240" w:lineRule="auto"/>
            </w:pPr>
            <w:r>
              <w:rPr>
                <w:rFonts w:ascii="宋体" w:hAnsi="宋体" w:eastAsia="宋体"/>
                <w:sz w:val="18"/>
              </w:rPr>
              <w:t>统一保存完整 ROR 标识和规范 ID；机构主表建立唯一约束</w:t>
            </w:r>
          </w:p>
        </w:tc>
      </w:tr>
      <w:tr w14:paraId="1B371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762D9F49">
            <w:pPr>
              <w:spacing w:after="0" w:line="240" w:lineRule="auto"/>
            </w:pPr>
            <w:r>
              <w:rPr>
                <w:rFonts w:ascii="宋体" w:hAnsi="宋体" w:eastAsia="宋体"/>
                <w:sz w:val="18"/>
              </w:rPr>
              <w:t>CLN-ID-04</w:t>
            </w:r>
          </w:p>
        </w:tc>
        <w:tc>
          <w:tcPr>
            <w:tcW w:w="3060" w:type="dxa"/>
            <w:vAlign w:val="center"/>
          </w:tcPr>
          <w:p w14:paraId="692F6D3E">
            <w:pPr>
              <w:spacing w:after="0" w:line="240" w:lineRule="auto"/>
            </w:pPr>
            <w:r>
              <w:rPr>
                <w:rFonts w:ascii="宋体" w:hAnsi="宋体" w:eastAsia="宋体"/>
                <w:sz w:val="18"/>
              </w:rPr>
              <w:t>ISSN</w:t>
            </w:r>
          </w:p>
        </w:tc>
        <w:tc>
          <w:tcPr>
            <w:tcW w:w="3060" w:type="dxa"/>
            <w:vAlign w:val="center"/>
          </w:tcPr>
          <w:p w14:paraId="2CA09E8A">
            <w:pPr>
              <w:spacing w:after="0" w:line="240" w:lineRule="auto"/>
            </w:pPr>
            <w:r>
              <w:rPr>
                <w:rFonts w:ascii="宋体" w:hAnsi="宋体" w:eastAsia="宋体"/>
                <w:sz w:val="18"/>
              </w:rPr>
              <w:t>去除多余空格；转换为 XXXX-XXXX 形式；执行校验位验证</w:t>
            </w:r>
          </w:p>
        </w:tc>
      </w:tr>
      <w:tr w14:paraId="053C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08D02E40">
            <w:pPr>
              <w:spacing w:after="0" w:line="240" w:lineRule="auto"/>
            </w:pPr>
            <w:r>
              <w:rPr>
                <w:rFonts w:ascii="宋体" w:hAnsi="宋体" w:eastAsia="宋体"/>
                <w:sz w:val="18"/>
              </w:rPr>
              <w:t>CLN-ID-05</w:t>
            </w:r>
          </w:p>
        </w:tc>
        <w:tc>
          <w:tcPr>
            <w:tcW w:w="3060" w:type="dxa"/>
            <w:vAlign w:val="center"/>
          </w:tcPr>
          <w:p w14:paraId="3E8F86D9">
            <w:pPr>
              <w:spacing w:after="0" w:line="240" w:lineRule="auto"/>
            </w:pPr>
            <w:r>
              <w:rPr>
                <w:rFonts w:ascii="宋体" w:hAnsi="宋体" w:eastAsia="宋体"/>
                <w:sz w:val="18"/>
              </w:rPr>
              <w:t>专利公开号</w:t>
            </w:r>
          </w:p>
        </w:tc>
        <w:tc>
          <w:tcPr>
            <w:tcW w:w="3060" w:type="dxa"/>
            <w:vAlign w:val="center"/>
          </w:tcPr>
          <w:p w14:paraId="088EB17A">
            <w:pPr>
              <w:spacing w:after="0" w:line="240" w:lineRule="auto"/>
            </w:pPr>
            <w:r>
              <w:rPr>
                <w:rFonts w:ascii="宋体" w:hAnsi="宋体" w:eastAsia="宋体"/>
                <w:sz w:val="18"/>
              </w:rPr>
              <w:t>拆分国家或地区代码、公开号主体和文献种类代码；统一大写；删除展示空格</w:t>
            </w:r>
          </w:p>
        </w:tc>
      </w:tr>
      <w:tr w14:paraId="4785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401315FD">
            <w:pPr>
              <w:spacing w:after="0" w:line="240" w:lineRule="auto"/>
            </w:pPr>
            <w:r>
              <w:rPr>
                <w:rFonts w:ascii="宋体" w:hAnsi="宋体" w:eastAsia="宋体"/>
                <w:sz w:val="18"/>
              </w:rPr>
              <w:t>CLN-ID-06</w:t>
            </w:r>
          </w:p>
        </w:tc>
        <w:tc>
          <w:tcPr>
            <w:tcW w:w="3060" w:type="dxa"/>
            <w:vAlign w:val="center"/>
          </w:tcPr>
          <w:p w14:paraId="08746DA0">
            <w:pPr>
              <w:spacing w:after="0" w:line="240" w:lineRule="auto"/>
            </w:pPr>
            <w:r>
              <w:rPr>
                <w:rFonts w:ascii="宋体" w:hAnsi="宋体" w:eastAsia="宋体"/>
                <w:sz w:val="18"/>
              </w:rPr>
              <w:t>专利申请号</w:t>
            </w:r>
          </w:p>
        </w:tc>
        <w:tc>
          <w:tcPr>
            <w:tcW w:w="3060" w:type="dxa"/>
            <w:vAlign w:val="center"/>
          </w:tcPr>
          <w:p w14:paraId="7C374CC3">
            <w:pPr>
              <w:spacing w:after="0" w:line="240" w:lineRule="auto"/>
            </w:pPr>
            <w:r>
              <w:rPr>
                <w:rFonts w:ascii="宋体" w:hAnsi="宋体" w:eastAsia="宋体"/>
                <w:sz w:val="18"/>
              </w:rPr>
              <w:t>按照来源国家或地区规则保存标准形式，同时保存原始形式</w:t>
            </w:r>
          </w:p>
        </w:tc>
      </w:tr>
    </w:tbl>
    <w:p w14:paraId="4E73050E"/>
    <w:p w14:paraId="6529BF2E">
      <w:pPr>
        <w:pStyle w:val="4"/>
      </w:pPr>
      <w:r>
        <w:t>4.3 人员姓名清洗规则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03C5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240F1028">
            <w:pPr>
              <w:spacing w:after="0" w:line="240" w:lineRule="auto"/>
            </w:pPr>
            <w:r>
              <w:rPr>
                <w:rFonts w:ascii="宋体" w:hAnsi="宋体" w:eastAsia="宋体"/>
                <w:b/>
                <w:sz w:val="19"/>
              </w:rPr>
              <w:t>规则编号</w:t>
            </w:r>
          </w:p>
        </w:tc>
        <w:tc>
          <w:tcPr>
            <w:tcW w:w="4589" w:type="dxa"/>
            <w:shd w:val="clear" w:color="auto" w:fill="D9EAF7"/>
            <w:vAlign w:val="center"/>
          </w:tcPr>
          <w:p w14:paraId="2395DC79">
            <w:pPr>
              <w:spacing w:after="0" w:line="240" w:lineRule="auto"/>
            </w:pPr>
            <w:r>
              <w:rPr>
                <w:rFonts w:ascii="宋体" w:hAnsi="宋体" w:eastAsia="宋体"/>
                <w:b/>
                <w:sz w:val="19"/>
              </w:rPr>
              <w:t>处理规则</w:t>
            </w:r>
          </w:p>
        </w:tc>
      </w:tr>
      <w:tr w14:paraId="2DED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6E9E62A">
            <w:pPr>
              <w:spacing w:after="0" w:line="240" w:lineRule="auto"/>
            </w:pPr>
            <w:r>
              <w:rPr>
                <w:rFonts w:ascii="宋体" w:hAnsi="宋体" w:eastAsia="宋体"/>
                <w:sz w:val="18"/>
              </w:rPr>
              <w:t>CLN-PER-01</w:t>
            </w:r>
          </w:p>
        </w:tc>
        <w:tc>
          <w:tcPr>
            <w:tcW w:w="4589" w:type="dxa"/>
            <w:vAlign w:val="center"/>
          </w:tcPr>
          <w:p w14:paraId="03535E9E">
            <w:pPr>
              <w:spacing w:after="0" w:line="240" w:lineRule="auto"/>
            </w:pPr>
            <w:r>
              <w:rPr>
                <w:rFonts w:ascii="宋体" w:hAnsi="宋体" w:eastAsia="宋体"/>
                <w:sz w:val="18"/>
              </w:rPr>
              <w:t>保存原始姓名、规范显示姓名和姓名比较键三个字段。</w:t>
            </w:r>
          </w:p>
        </w:tc>
      </w:tr>
      <w:tr w14:paraId="3899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3223487">
            <w:pPr>
              <w:spacing w:after="0" w:line="240" w:lineRule="auto"/>
            </w:pPr>
            <w:r>
              <w:rPr>
                <w:rFonts w:ascii="宋体" w:hAnsi="宋体" w:eastAsia="宋体"/>
                <w:sz w:val="18"/>
              </w:rPr>
              <w:t>CLN-PER-02</w:t>
            </w:r>
          </w:p>
        </w:tc>
        <w:tc>
          <w:tcPr>
            <w:tcW w:w="4589" w:type="dxa"/>
            <w:vAlign w:val="center"/>
          </w:tcPr>
          <w:p w14:paraId="23FFD27C">
            <w:pPr>
              <w:spacing w:after="0" w:line="240" w:lineRule="auto"/>
            </w:pPr>
            <w:r>
              <w:rPr>
                <w:rFonts w:ascii="宋体" w:hAnsi="宋体" w:eastAsia="宋体"/>
                <w:sz w:val="18"/>
              </w:rPr>
              <w:t>英文姓名比较键统一字母大小写、标点和连续空格；姓名展示字段保留来源中的变音符号。</w:t>
            </w:r>
          </w:p>
        </w:tc>
      </w:tr>
      <w:tr w14:paraId="11CD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385F08B">
            <w:pPr>
              <w:spacing w:after="0" w:line="240" w:lineRule="auto"/>
            </w:pPr>
            <w:r>
              <w:rPr>
                <w:rFonts w:ascii="宋体" w:hAnsi="宋体" w:eastAsia="宋体"/>
                <w:sz w:val="18"/>
              </w:rPr>
              <w:t>CLN-PER-03</w:t>
            </w:r>
          </w:p>
        </w:tc>
        <w:tc>
          <w:tcPr>
            <w:tcW w:w="4589" w:type="dxa"/>
            <w:vAlign w:val="center"/>
          </w:tcPr>
          <w:p w14:paraId="2E74EAA8">
            <w:pPr>
              <w:spacing w:after="0" w:line="240" w:lineRule="auto"/>
            </w:pPr>
            <w:r>
              <w:rPr>
                <w:rFonts w:ascii="宋体" w:hAnsi="宋体" w:eastAsia="宋体"/>
                <w:sz w:val="18"/>
              </w:rPr>
              <w:t>中文姓名保留中文原名；拼音和英文写法作为别名保存；系统仅依据姓名字符串执行候选召回，实体合并需要结合身份标识、机构、合作者和成果等信息。</w:t>
            </w:r>
          </w:p>
        </w:tc>
      </w:tr>
      <w:tr w14:paraId="22A7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72FDC47D">
            <w:pPr>
              <w:spacing w:after="0" w:line="240" w:lineRule="auto"/>
            </w:pPr>
            <w:r>
              <w:rPr>
                <w:rFonts w:ascii="宋体" w:hAnsi="宋体" w:eastAsia="宋体"/>
                <w:sz w:val="18"/>
              </w:rPr>
              <w:t>CLN-PER-04</w:t>
            </w:r>
          </w:p>
        </w:tc>
        <w:tc>
          <w:tcPr>
            <w:tcW w:w="4589" w:type="dxa"/>
            <w:vAlign w:val="center"/>
          </w:tcPr>
          <w:p w14:paraId="4A2B44A3">
            <w:pPr>
              <w:spacing w:after="0" w:line="240" w:lineRule="auto"/>
            </w:pPr>
            <w:r>
              <w:rPr>
                <w:rFonts w:ascii="宋体" w:hAnsi="宋体" w:eastAsia="宋体"/>
                <w:sz w:val="18"/>
              </w:rPr>
              <w:t>ORCID 经过认证绑定以后，将 ORCID 作为研究人员的强身份标识。</w:t>
            </w:r>
          </w:p>
        </w:tc>
      </w:tr>
      <w:tr w14:paraId="5CE5A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52616EE5">
            <w:pPr>
              <w:spacing w:after="0" w:line="240" w:lineRule="auto"/>
            </w:pPr>
            <w:r>
              <w:rPr>
                <w:rFonts w:ascii="宋体" w:hAnsi="宋体" w:eastAsia="宋体"/>
                <w:sz w:val="18"/>
              </w:rPr>
              <w:t>CLN-PER-05</w:t>
            </w:r>
          </w:p>
        </w:tc>
        <w:tc>
          <w:tcPr>
            <w:tcW w:w="4589" w:type="dxa"/>
            <w:vAlign w:val="center"/>
          </w:tcPr>
          <w:p w14:paraId="6FCA1A8B">
            <w:pPr>
              <w:spacing w:after="0" w:line="240" w:lineRule="auto"/>
            </w:pPr>
            <w:r>
              <w:rPr>
                <w:rFonts w:ascii="宋体" w:hAnsi="宋体" w:eastAsia="宋体"/>
                <w:sz w:val="18"/>
              </w:rPr>
              <w:t>作者顺序独立保存在成果—作者关系表中，任何姓名规范化处理均保持作者顺序。</w:t>
            </w:r>
          </w:p>
        </w:tc>
      </w:tr>
    </w:tbl>
    <w:p w14:paraId="4E1C499A"/>
    <w:p w14:paraId="2AEE6BCD">
      <w:pPr>
        <w:pStyle w:val="4"/>
      </w:pPr>
      <w:r>
        <w:t>4.4 机构名称清洗规则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6362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24855837">
            <w:pPr>
              <w:spacing w:after="0" w:line="240" w:lineRule="auto"/>
            </w:pPr>
            <w:r>
              <w:rPr>
                <w:rFonts w:ascii="宋体" w:hAnsi="宋体" w:eastAsia="宋体"/>
                <w:b/>
                <w:sz w:val="19"/>
              </w:rPr>
              <w:t>规则编号</w:t>
            </w:r>
          </w:p>
        </w:tc>
        <w:tc>
          <w:tcPr>
            <w:tcW w:w="4589" w:type="dxa"/>
            <w:shd w:val="clear" w:color="auto" w:fill="D9EAF7"/>
            <w:vAlign w:val="center"/>
          </w:tcPr>
          <w:p w14:paraId="2BEB0022">
            <w:pPr>
              <w:spacing w:after="0" w:line="240" w:lineRule="auto"/>
            </w:pPr>
            <w:r>
              <w:rPr>
                <w:rFonts w:ascii="宋体" w:hAnsi="宋体" w:eastAsia="宋体"/>
                <w:b/>
                <w:sz w:val="19"/>
              </w:rPr>
              <w:t>处理规则</w:t>
            </w:r>
          </w:p>
        </w:tc>
      </w:tr>
      <w:tr w14:paraId="1CDA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AE19848">
            <w:pPr>
              <w:spacing w:after="0" w:line="240" w:lineRule="auto"/>
            </w:pPr>
            <w:r>
              <w:rPr>
                <w:rFonts w:ascii="宋体" w:hAnsi="宋体" w:eastAsia="宋体"/>
                <w:sz w:val="18"/>
              </w:rPr>
              <w:t>CLN-ORG-01</w:t>
            </w:r>
          </w:p>
        </w:tc>
        <w:tc>
          <w:tcPr>
            <w:tcW w:w="4589" w:type="dxa"/>
            <w:vAlign w:val="center"/>
          </w:tcPr>
          <w:p w14:paraId="0EAE7FF3">
            <w:pPr>
              <w:spacing w:after="0" w:line="240" w:lineRule="auto"/>
            </w:pPr>
            <w:r>
              <w:rPr>
                <w:rFonts w:ascii="宋体" w:hAnsi="宋体" w:eastAsia="宋体"/>
                <w:sz w:val="18"/>
              </w:rPr>
              <w:t>保存来源机构名称、规范机构名称、机构别名、所在国家或地区和 ROR ID。</w:t>
            </w:r>
          </w:p>
        </w:tc>
      </w:tr>
      <w:tr w14:paraId="6579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8E69513">
            <w:pPr>
              <w:spacing w:after="0" w:line="240" w:lineRule="auto"/>
            </w:pPr>
            <w:r>
              <w:rPr>
                <w:rFonts w:ascii="宋体" w:hAnsi="宋体" w:eastAsia="宋体"/>
                <w:sz w:val="18"/>
              </w:rPr>
              <w:t>CLN-ORG-02</w:t>
            </w:r>
          </w:p>
        </w:tc>
        <w:tc>
          <w:tcPr>
            <w:tcW w:w="4589" w:type="dxa"/>
            <w:vAlign w:val="center"/>
          </w:tcPr>
          <w:p w14:paraId="01ECF9EF">
            <w:pPr>
              <w:spacing w:after="0" w:line="240" w:lineRule="auto"/>
            </w:pPr>
            <w:r>
              <w:rPr>
                <w:rFonts w:ascii="宋体" w:hAnsi="宋体" w:eastAsia="宋体"/>
                <w:sz w:val="18"/>
              </w:rPr>
              <w:t>匹配 ROR ID 成功以后，规范机构名称采用 ROR 记录中的名称，本地来源名称进入机构别名表。</w:t>
            </w:r>
          </w:p>
        </w:tc>
      </w:tr>
      <w:tr w14:paraId="59B7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A7EA4EB">
            <w:pPr>
              <w:spacing w:after="0" w:line="240" w:lineRule="auto"/>
            </w:pPr>
            <w:r>
              <w:rPr>
                <w:rFonts w:ascii="宋体" w:hAnsi="宋体" w:eastAsia="宋体"/>
                <w:sz w:val="18"/>
              </w:rPr>
              <w:t>CLN-ORG-03</w:t>
            </w:r>
          </w:p>
        </w:tc>
        <w:tc>
          <w:tcPr>
            <w:tcW w:w="4589" w:type="dxa"/>
            <w:vAlign w:val="center"/>
          </w:tcPr>
          <w:p w14:paraId="4E767DBF">
            <w:pPr>
              <w:spacing w:after="0" w:line="240" w:lineRule="auto"/>
            </w:pPr>
            <w:r>
              <w:rPr>
                <w:rFonts w:ascii="宋体" w:hAnsi="宋体" w:eastAsia="宋体"/>
                <w:sz w:val="18"/>
              </w:rPr>
              <w:t>院系和实验室作为机构层级信息保存；学校或研究机构作为顶层科研机构实体保存。</w:t>
            </w:r>
          </w:p>
        </w:tc>
      </w:tr>
      <w:tr w14:paraId="6477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93FE12E">
            <w:pPr>
              <w:spacing w:after="0" w:line="240" w:lineRule="auto"/>
            </w:pPr>
            <w:r>
              <w:rPr>
                <w:rFonts w:ascii="宋体" w:hAnsi="宋体" w:eastAsia="宋体"/>
                <w:sz w:val="18"/>
              </w:rPr>
              <w:t>CLN-ORG-04</w:t>
            </w:r>
          </w:p>
        </w:tc>
        <w:tc>
          <w:tcPr>
            <w:tcW w:w="4589" w:type="dxa"/>
            <w:vAlign w:val="center"/>
          </w:tcPr>
          <w:p w14:paraId="2ABF8F2F">
            <w:pPr>
              <w:spacing w:after="0" w:line="240" w:lineRule="auto"/>
            </w:pPr>
            <w:r>
              <w:rPr>
                <w:rFonts w:ascii="宋体" w:hAnsi="宋体" w:eastAsia="宋体"/>
                <w:sz w:val="18"/>
              </w:rPr>
              <w:t>历史名称和合并前机构名称通过别名关系关联到统一机构实体，同时保存有效时间范围。</w:t>
            </w:r>
          </w:p>
        </w:tc>
      </w:tr>
    </w:tbl>
    <w:p w14:paraId="11A6F372"/>
    <w:p w14:paraId="209E1736">
      <w:pPr>
        <w:pStyle w:val="4"/>
      </w:pPr>
      <w:r>
        <w:t>4.5 日期、分类和数值字段清洗规则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66D4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7030AE6A">
            <w:pPr>
              <w:spacing w:after="0" w:line="240" w:lineRule="auto"/>
            </w:pPr>
            <w:r>
              <w:rPr>
                <w:rFonts w:ascii="宋体" w:hAnsi="宋体" w:eastAsia="宋体"/>
                <w:b/>
                <w:sz w:val="19"/>
              </w:rPr>
              <w:t>字段</w:t>
            </w:r>
          </w:p>
        </w:tc>
        <w:tc>
          <w:tcPr>
            <w:tcW w:w="4589" w:type="dxa"/>
            <w:shd w:val="clear" w:color="auto" w:fill="D9EAF7"/>
            <w:vAlign w:val="center"/>
          </w:tcPr>
          <w:p w14:paraId="6C5C4544">
            <w:pPr>
              <w:spacing w:after="0" w:line="240" w:lineRule="auto"/>
            </w:pPr>
            <w:r>
              <w:rPr>
                <w:rFonts w:ascii="宋体" w:hAnsi="宋体" w:eastAsia="宋体"/>
                <w:b/>
                <w:sz w:val="19"/>
              </w:rPr>
              <w:t>处理规则</w:t>
            </w:r>
          </w:p>
        </w:tc>
      </w:tr>
      <w:tr w14:paraId="29D5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E276096">
            <w:pPr>
              <w:spacing w:after="0" w:line="240" w:lineRule="auto"/>
            </w:pPr>
            <w:r>
              <w:rPr>
                <w:rFonts w:ascii="宋体" w:hAnsi="宋体" w:eastAsia="宋体"/>
                <w:sz w:val="18"/>
              </w:rPr>
              <w:t>日期</w:t>
            </w:r>
          </w:p>
        </w:tc>
        <w:tc>
          <w:tcPr>
            <w:tcW w:w="4589" w:type="dxa"/>
            <w:vAlign w:val="center"/>
          </w:tcPr>
          <w:p w14:paraId="7FD7C9A4">
            <w:pPr>
              <w:spacing w:after="0" w:line="240" w:lineRule="auto"/>
            </w:pPr>
            <w:r>
              <w:rPr>
                <w:rFonts w:ascii="宋体" w:hAnsi="宋体" w:eastAsia="宋体"/>
                <w:sz w:val="18"/>
              </w:rPr>
              <w:t>统一转换为 ISO 8601；仅有年份时保存 precision=year；仅有年月时保存 precision=month；完整日期保存 precision=day</w:t>
            </w:r>
          </w:p>
        </w:tc>
      </w:tr>
      <w:tr w14:paraId="3E99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143C38A">
            <w:pPr>
              <w:spacing w:after="0" w:line="240" w:lineRule="auto"/>
            </w:pPr>
            <w:r>
              <w:rPr>
                <w:rFonts w:ascii="宋体" w:hAnsi="宋体" w:eastAsia="宋体"/>
                <w:sz w:val="18"/>
              </w:rPr>
              <w:t>引用次数</w:t>
            </w:r>
          </w:p>
        </w:tc>
        <w:tc>
          <w:tcPr>
            <w:tcW w:w="4589" w:type="dxa"/>
            <w:vAlign w:val="center"/>
          </w:tcPr>
          <w:p w14:paraId="7C66F224">
            <w:pPr>
              <w:spacing w:after="0" w:line="240" w:lineRule="auto"/>
            </w:pPr>
            <w:r>
              <w:rPr>
                <w:rFonts w:ascii="宋体" w:hAnsi="宋体" w:eastAsia="宋体"/>
                <w:sz w:val="18"/>
              </w:rPr>
              <w:t>保存非负整数，并保存统计来源和统计时间；多个来源的引用次数分别存储</w:t>
            </w:r>
          </w:p>
        </w:tc>
      </w:tr>
      <w:tr w14:paraId="541D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66A50E8">
            <w:pPr>
              <w:spacing w:after="0" w:line="240" w:lineRule="auto"/>
            </w:pPr>
            <w:r>
              <w:rPr>
                <w:rFonts w:ascii="宋体" w:hAnsi="宋体" w:eastAsia="宋体"/>
                <w:sz w:val="18"/>
              </w:rPr>
              <w:t>奖励等级</w:t>
            </w:r>
          </w:p>
        </w:tc>
        <w:tc>
          <w:tcPr>
            <w:tcW w:w="4589" w:type="dxa"/>
            <w:vAlign w:val="center"/>
          </w:tcPr>
          <w:p w14:paraId="30D35822">
            <w:pPr>
              <w:spacing w:after="0" w:line="240" w:lineRule="auto"/>
            </w:pPr>
            <w:r>
              <w:rPr>
                <w:rFonts w:ascii="宋体" w:hAnsi="宋体" w:eastAsia="宋体"/>
                <w:sz w:val="18"/>
              </w:rPr>
              <w:t>建立受控词表，例如特等奖、一等奖、二等奖、三等奖；来源中的其他表达通过映射表转换</w:t>
            </w:r>
          </w:p>
        </w:tc>
      </w:tr>
      <w:tr w14:paraId="132F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C1630BC">
            <w:pPr>
              <w:spacing w:after="0" w:line="240" w:lineRule="auto"/>
            </w:pPr>
            <w:r>
              <w:rPr>
                <w:rFonts w:ascii="宋体" w:hAnsi="宋体" w:eastAsia="宋体"/>
                <w:sz w:val="18"/>
              </w:rPr>
              <w:t>奖励类别</w:t>
            </w:r>
          </w:p>
        </w:tc>
        <w:tc>
          <w:tcPr>
            <w:tcW w:w="4589" w:type="dxa"/>
            <w:vAlign w:val="center"/>
          </w:tcPr>
          <w:p w14:paraId="18FD409D">
            <w:pPr>
              <w:spacing w:after="0" w:line="240" w:lineRule="auto"/>
            </w:pPr>
            <w:r>
              <w:rPr>
                <w:rFonts w:ascii="宋体" w:hAnsi="宋体" w:eastAsia="宋体"/>
                <w:sz w:val="18"/>
              </w:rPr>
              <w:t>按授奖机构的正式分类保存，并建立平台统一分类字段</w:t>
            </w:r>
          </w:p>
        </w:tc>
      </w:tr>
      <w:tr w14:paraId="12CE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3148B7D">
            <w:pPr>
              <w:spacing w:after="0" w:line="240" w:lineRule="auto"/>
            </w:pPr>
            <w:r>
              <w:rPr>
                <w:rFonts w:ascii="宋体" w:hAnsi="宋体" w:eastAsia="宋体"/>
                <w:sz w:val="18"/>
              </w:rPr>
              <w:t>CPC/IPC</w:t>
            </w:r>
          </w:p>
        </w:tc>
        <w:tc>
          <w:tcPr>
            <w:tcW w:w="4589" w:type="dxa"/>
            <w:vAlign w:val="center"/>
          </w:tcPr>
          <w:p w14:paraId="1A7ACCC2">
            <w:pPr>
              <w:spacing w:after="0" w:line="240" w:lineRule="auto"/>
            </w:pPr>
            <w:r>
              <w:rPr>
                <w:rFonts w:ascii="宋体" w:hAnsi="宋体" w:eastAsia="宋体"/>
                <w:sz w:val="18"/>
              </w:rPr>
              <w:t>转换为大写规范形式；建立层级字段，支持按部、类、小类、组聚合</w:t>
            </w:r>
          </w:p>
        </w:tc>
      </w:tr>
      <w:tr w14:paraId="53DD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CB44720">
            <w:pPr>
              <w:spacing w:after="0" w:line="240" w:lineRule="auto"/>
            </w:pPr>
            <w:r>
              <w:rPr>
                <w:rFonts w:ascii="宋体" w:hAnsi="宋体" w:eastAsia="宋体"/>
                <w:sz w:val="18"/>
              </w:rPr>
              <w:t>学术领域</w:t>
            </w:r>
          </w:p>
        </w:tc>
        <w:tc>
          <w:tcPr>
            <w:tcW w:w="4589" w:type="dxa"/>
            <w:vAlign w:val="center"/>
          </w:tcPr>
          <w:p w14:paraId="3A47D45D">
            <w:pPr>
              <w:spacing w:after="0" w:line="240" w:lineRule="auto"/>
            </w:pPr>
            <w:r>
              <w:rPr>
                <w:rFonts w:ascii="宋体" w:hAnsi="宋体" w:eastAsia="宋体"/>
                <w:sz w:val="18"/>
              </w:rPr>
              <w:t>保存来源领域标识和平台统一领域标识；建立来源分类到平台分类的映射表</w:t>
            </w:r>
          </w:p>
        </w:tc>
      </w:tr>
    </w:tbl>
    <w:p w14:paraId="3A3F9E01"/>
    <w:p w14:paraId="6A9C9DED">
      <w:pPr>
        <w:pStyle w:val="4"/>
      </w:pPr>
      <w:r>
        <w:t>4.6 缺失字段处理</w:t>
      </w:r>
    </w:p>
    <w:p w14:paraId="7E5A718F">
      <w:pPr>
        <w:pStyle w:val="14"/>
        <w:spacing w:after="60"/>
      </w:pPr>
      <w:r>
        <w:t>来源中缺失的字段保存为空值，并且记录字段缺失状态。系统禁止使用推测值覆盖缺失字段。</w:t>
      </w:r>
    </w:p>
    <w:p w14:paraId="678FFD46">
      <w:pPr>
        <w:pStyle w:val="14"/>
        <w:spacing w:after="60"/>
      </w:pPr>
      <w:r>
        <w:t>其他可信来源能够提供同一实体字段时，系统按照字段来源优先级补充该字段，同时记录字段来源。</w:t>
      </w:r>
    </w:p>
    <w:p w14:paraId="7444D27C">
      <w:pPr>
        <w:pStyle w:val="14"/>
        <w:spacing w:after="60"/>
      </w:pPr>
      <w:r>
        <w:t>论文摘要、关键词、机构等可选字段的缺失不会阻止基础记录入库；DOI 缺失的论文通过题名、作者和出版信息进入去重流程。</w:t>
      </w:r>
    </w:p>
    <w:p w14:paraId="52667776">
      <w:pPr>
        <w:pStyle w:val="14"/>
        <w:spacing w:after="60"/>
      </w:pPr>
      <w:r>
        <w:t>奖励记录缺少统一标识时，系统生成内部 UUID，并通过授奖机构、年度、类别、等级、项目名称和完成人信息执行去重。</w:t>
      </w:r>
    </w:p>
    <w:p w14:paraId="368E4BFC">
      <w:pPr>
        <w:pStyle w:val="3"/>
      </w:pPr>
      <w:r>
        <w:t>5. 重复记录识别算法</w:t>
      </w:r>
    </w:p>
    <w:p w14:paraId="6159D60A">
      <w:r>
        <w:t>以下规则作为 SPEC-DATA-02《成果去重规范》的主体内容。系统将重复识别划分为精确匹配、候选召回、相似度评分和合并决策四个步骤。</w:t>
      </w:r>
    </w:p>
    <w:p w14:paraId="5CBF57A8">
      <w:pPr>
        <w:pStyle w:val="4"/>
      </w:pPr>
      <w:r>
        <w:t>5.1 论文去重算法</w:t>
      </w:r>
    </w:p>
    <w:p w14:paraId="2C02E0C7">
      <w:pPr>
        <w:pStyle w:val="5"/>
      </w:pPr>
      <w:r>
        <w:t>5.1.1 第一阶段：精确匹配</w:t>
      </w:r>
    </w:p>
    <w:p w14:paraId="52133A15">
      <w:pPr>
        <w:pStyle w:val="14"/>
        <w:spacing w:after="60"/>
      </w:pPr>
      <w:r>
        <w:t>两个论文记录均具有合法 DOI，并且规范化 DOI 完全相同，系统直接判定为同一论文。</w:t>
      </w:r>
    </w:p>
    <w:p w14:paraId="5581B14D">
      <w:pPr>
        <w:pStyle w:val="14"/>
        <w:spacing w:after="60"/>
      </w:pPr>
      <w:r>
        <w:t>DBLP 来源记录具有相同 DBLP key 时，系统直接判定为同一来源记录。</w:t>
      </w:r>
    </w:p>
    <w:p w14:paraId="14A6CCC6">
      <w:pPr>
        <w:pStyle w:val="14"/>
        <w:spacing w:after="60"/>
      </w:pPr>
      <w:r>
        <w:t>OpenAlex 来源记录具有相同 OpenAlex Work ID 时，系统直接判定为同一来源记录。</w:t>
      </w:r>
    </w:p>
    <w:p w14:paraId="489501A9">
      <w:pPr>
        <w:pStyle w:val="5"/>
      </w:pPr>
      <w:r>
        <w:t>5.1.2 第二阶段：无 DOI 或 DOI 缺失情况下的候选召回</w:t>
      </w:r>
    </w:p>
    <w:p w14:paraId="39D7A1E1">
      <w:r>
        <w:t>系统为每篇论文生成题名指纹。题名指纹由规范化题名删除空白和弱标点以后生成。候选集合满足以下任一条件：</w:t>
      </w:r>
    </w:p>
    <w:p w14:paraId="01E59E00">
      <w:pPr>
        <w:pStyle w:val="16"/>
        <w:spacing w:after="60"/>
      </w:pPr>
      <w:r>
        <w:t>规范化题名完全相同。</w:t>
      </w:r>
    </w:p>
    <w:p w14:paraId="520FCC52">
      <w:pPr>
        <w:pStyle w:val="16"/>
        <w:spacing w:after="60"/>
      </w:pPr>
      <w:r>
        <w:t>题名字符三元组相似度达到 0.75，并且出版年份差值小于或等于 1。</w:t>
      </w:r>
    </w:p>
    <w:p w14:paraId="27161667">
      <w:pPr>
        <w:pStyle w:val="16"/>
        <w:spacing w:after="60"/>
      </w:pPr>
      <w:r>
        <w:t>第一作者规范姓名相同，并且题名词项 Jaccard 相似度达到 0.60。</w:t>
      </w:r>
    </w:p>
    <w:p w14:paraId="3545C3C9">
      <w:pPr>
        <w:pStyle w:val="5"/>
      </w:pPr>
      <w:r>
        <w:t>5.1.3 第三阶段：候选对评分</w:t>
      </w:r>
    </w:p>
    <w:p w14:paraId="257C1B1A">
      <w:r>
        <w:t>论文候选对使用以下固定评分公式：</w:t>
      </w:r>
    </w:p>
    <w:p w14:paraId="2BB89709">
      <w:pPr>
        <w:jc w:val="center"/>
      </w:pPr>
      <w:r>
        <w:rPr>
          <w:b/>
        </w:rPr>
        <w:t>S_paper = 0.55×S_title + 0.20×S_author + 0.10×S_year + 0.10×S_venue + 0.05×S_pages</w:t>
      </w:r>
    </w:p>
    <w:p w14:paraId="44BAA0BB">
      <w:r>
        <w:t>其中，S_title 为规范化题名字符三元组余弦相似度；S_author 为作者集合 Jaccard 相似度；S_year 在年份相同的时候取 1，年份相差 1 的时候取 0.5，其余情况取 0；S_venue 为期刊或会议规范标识匹配结果；S_pages 为起止页、文章号或电子文章编号匹配结果。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3345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14353B1A">
            <w:pPr>
              <w:spacing w:after="0" w:line="240" w:lineRule="auto"/>
            </w:pPr>
            <w:r>
              <w:rPr>
                <w:rFonts w:ascii="宋体" w:hAnsi="宋体" w:eastAsia="宋体"/>
                <w:b/>
                <w:sz w:val="19"/>
              </w:rPr>
              <w:t>评分区间</w:t>
            </w:r>
          </w:p>
        </w:tc>
        <w:tc>
          <w:tcPr>
            <w:tcW w:w="4589" w:type="dxa"/>
            <w:shd w:val="clear" w:color="auto" w:fill="D9EAF7"/>
            <w:vAlign w:val="center"/>
          </w:tcPr>
          <w:p w14:paraId="072F48CE">
            <w:pPr>
              <w:spacing w:after="0" w:line="240" w:lineRule="auto"/>
            </w:pPr>
            <w:r>
              <w:rPr>
                <w:rFonts w:ascii="宋体" w:hAnsi="宋体" w:eastAsia="宋体"/>
                <w:b/>
                <w:sz w:val="19"/>
              </w:rPr>
              <w:t>处理结果</w:t>
            </w:r>
          </w:p>
        </w:tc>
      </w:tr>
      <w:tr w14:paraId="1DEF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5DF59E57">
            <w:pPr>
              <w:spacing w:after="0" w:line="240" w:lineRule="auto"/>
            </w:pPr>
            <w:r>
              <w:rPr>
                <w:rFonts w:ascii="宋体" w:hAnsi="宋体" w:eastAsia="宋体"/>
                <w:sz w:val="18"/>
              </w:rPr>
              <w:t>S_paper ≥ 0.92</w:t>
            </w:r>
          </w:p>
        </w:tc>
        <w:tc>
          <w:tcPr>
            <w:tcW w:w="4589" w:type="dxa"/>
            <w:vAlign w:val="center"/>
          </w:tcPr>
          <w:p w14:paraId="484D081F">
            <w:pPr>
              <w:spacing w:after="0" w:line="240" w:lineRule="auto"/>
            </w:pPr>
            <w:r>
              <w:rPr>
                <w:rFonts w:ascii="宋体" w:hAnsi="宋体" w:eastAsia="宋体"/>
                <w:sz w:val="18"/>
              </w:rPr>
              <w:t>自动合并为同一论文</w:t>
            </w:r>
          </w:p>
        </w:tc>
      </w:tr>
      <w:tr w14:paraId="5E07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4806823">
            <w:pPr>
              <w:spacing w:after="0" w:line="240" w:lineRule="auto"/>
            </w:pPr>
            <w:r>
              <w:rPr>
                <w:rFonts w:ascii="宋体" w:hAnsi="宋体" w:eastAsia="宋体"/>
                <w:sz w:val="18"/>
              </w:rPr>
              <w:t>0.82 ≤ S_paper &lt; 0.92</w:t>
            </w:r>
          </w:p>
        </w:tc>
        <w:tc>
          <w:tcPr>
            <w:tcW w:w="4589" w:type="dxa"/>
            <w:vAlign w:val="center"/>
          </w:tcPr>
          <w:p w14:paraId="3C29CB84">
            <w:pPr>
              <w:spacing w:after="0" w:line="240" w:lineRule="auto"/>
            </w:pPr>
            <w:r>
              <w:rPr>
                <w:rFonts w:ascii="宋体" w:hAnsi="宋体" w:eastAsia="宋体"/>
                <w:sz w:val="18"/>
              </w:rPr>
              <w:t>进入人工复核队列</w:t>
            </w:r>
          </w:p>
        </w:tc>
      </w:tr>
      <w:tr w14:paraId="1B15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08220FC">
            <w:pPr>
              <w:spacing w:after="0" w:line="240" w:lineRule="auto"/>
            </w:pPr>
            <w:r>
              <w:rPr>
                <w:rFonts w:ascii="宋体" w:hAnsi="宋体" w:eastAsia="宋体"/>
                <w:sz w:val="18"/>
              </w:rPr>
              <w:t>S_paper &lt; 0.82</w:t>
            </w:r>
          </w:p>
        </w:tc>
        <w:tc>
          <w:tcPr>
            <w:tcW w:w="4589" w:type="dxa"/>
            <w:vAlign w:val="center"/>
          </w:tcPr>
          <w:p w14:paraId="5038A8F4">
            <w:pPr>
              <w:spacing w:after="0" w:line="240" w:lineRule="auto"/>
            </w:pPr>
            <w:r>
              <w:rPr>
                <w:rFonts w:ascii="宋体" w:hAnsi="宋体" w:eastAsia="宋体"/>
                <w:sz w:val="18"/>
              </w:rPr>
              <w:t>保留为独立论文记录</w:t>
            </w:r>
          </w:p>
        </w:tc>
      </w:tr>
    </w:tbl>
    <w:p w14:paraId="15060CC0"/>
    <w:p w14:paraId="2F3D363C">
      <w:r>
        <w:t>当两个记录同时存在合法 DOI 且 DOI 不同的时候，系统将两个记录保持为独立记录，并且创建“疑似版本关系”复核任务。预印本与正式出版版本通过 related_work 关系关联，系统保持两个成果记录。</w:t>
      </w:r>
    </w:p>
    <w:p w14:paraId="68694DFF">
      <w:pPr>
        <w:pStyle w:val="4"/>
      </w:pPr>
      <w:r>
        <w:t>5.2 专利去重与专利家族处理</w:t>
      </w:r>
    </w:p>
    <w:p w14:paraId="164D5E22">
      <w:pPr>
        <w:pStyle w:val="14"/>
        <w:spacing w:after="60"/>
      </w:pPr>
      <w:r>
        <w:t>具体专利公开文献以“主管机构代码 + 公开号 + 文献种类代码”作为首选唯一键。</w:t>
      </w:r>
    </w:p>
    <w:p w14:paraId="787B58C8">
      <w:pPr>
        <w:pStyle w:val="14"/>
        <w:spacing w:after="60"/>
      </w:pPr>
      <w:r>
        <w:t>来源平台省略文献种类代码的时候，系统使用“主管机构代码 + 公开号”进行候选匹配，并结合申请号和公开日期完成判定。</w:t>
      </w:r>
    </w:p>
    <w:p w14:paraId="154C6B26">
      <w:pPr>
        <w:pStyle w:val="14"/>
        <w:spacing w:after="60"/>
      </w:pPr>
      <w:r>
        <w:t>同一国家或地区的来源记录具有相同申请号，并且标题、申请日和申请人一致时，系统合并来源记录。</w:t>
      </w:r>
    </w:p>
    <w:p w14:paraId="62D0A5D3">
      <w:pPr>
        <w:pStyle w:val="14"/>
        <w:spacing w:after="60"/>
      </w:pPr>
      <w:r>
        <w:t>多个国家或地区针对同一发明形成的专利记录保持为独立公开记录，并通过专利家族实体关联。</w:t>
      </w:r>
    </w:p>
    <w:p w14:paraId="3C87CF9D">
      <w:pPr>
        <w:pStyle w:val="14"/>
        <w:spacing w:after="60"/>
      </w:pPr>
      <w:r>
        <w:t>EPO 提供的专利家族标识可以作为家族归并的重要依据；系统同时保存家族来源和家族类型。</w:t>
      </w:r>
    </w:p>
    <w:p w14:paraId="4B56EBD9">
      <w:pPr>
        <w:pStyle w:val="14"/>
        <w:spacing w:after="60"/>
      </w:pPr>
      <w:r>
        <w:t>同一专利在公开、授权等阶段形成不同文献种类代码时，系统保持公开文献记录，并通过同一申请实体建立阶段关系。</w:t>
      </w:r>
    </w:p>
    <w:p w14:paraId="2865257B">
      <w:pPr>
        <w:pStyle w:val="4"/>
      </w:pPr>
      <w:r>
        <w:t>5.3 科技奖励去重算法</w:t>
      </w:r>
    </w:p>
    <w:p w14:paraId="456A25A1">
      <w:r>
        <w:t>科技奖励缺少跨平台统一标识。系统生成以下复合匹配键：</w:t>
      </w:r>
    </w:p>
    <w:p w14:paraId="659E3032">
      <w:pPr>
        <w:jc w:val="center"/>
      </w:pPr>
      <w:r>
        <w:rPr>
          <w:b/>
        </w:rPr>
        <w:t>K_award = 授奖机构规范ID + 奖项规范名称 + 获奖年度 + 奖励类别 + 奖励等级 + 规范化项目名称</w:t>
      </w:r>
    </w:p>
    <w:p w14:paraId="4E13B058">
      <w:r>
        <w:t>复合匹配键完全一致时，系统直接判定为同一奖励记录。复合匹配键存在文本差异时，系统使用以下评分公式：</w:t>
      </w:r>
    </w:p>
    <w:p w14:paraId="23EB98DE">
      <w:pPr>
        <w:jc w:val="center"/>
      </w:pPr>
      <w:r>
        <w:rPr>
          <w:b/>
        </w:rPr>
        <w:t>S_award = 0.50×S_project + 0.20×S_person + 0.15×S_org + 0.10×S_category + 0.05×S_year</w:t>
      </w:r>
    </w:p>
    <w:p w14:paraId="5C56EE4D">
      <w:r>
        <w:t>S_project 为项目名称相似度；S_person 为主要完成人集合相似度；S_org 为主要完成单位集合相似度；S_category 为奖励类别和等级的一致性评分；S_year 为获奖年度一致性评分。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69FF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3E45D131">
            <w:pPr>
              <w:spacing w:after="0" w:line="240" w:lineRule="auto"/>
            </w:pPr>
            <w:r>
              <w:rPr>
                <w:rFonts w:ascii="宋体" w:hAnsi="宋体" w:eastAsia="宋体"/>
                <w:b/>
                <w:sz w:val="19"/>
              </w:rPr>
              <w:t>评分区间</w:t>
            </w:r>
          </w:p>
        </w:tc>
        <w:tc>
          <w:tcPr>
            <w:tcW w:w="4589" w:type="dxa"/>
            <w:shd w:val="clear" w:color="auto" w:fill="D9EAF7"/>
            <w:vAlign w:val="center"/>
          </w:tcPr>
          <w:p w14:paraId="3660C979">
            <w:pPr>
              <w:spacing w:after="0" w:line="240" w:lineRule="auto"/>
            </w:pPr>
            <w:r>
              <w:rPr>
                <w:rFonts w:ascii="宋体" w:hAnsi="宋体" w:eastAsia="宋体"/>
                <w:b/>
                <w:sz w:val="19"/>
              </w:rPr>
              <w:t>处理结果</w:t>
            </w:r>
          </w:p>
        </w:tc>
      </w:tr>
      <w:tr w14:paraId="33AB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B89396E">
            <w:pPr>
              <w:spacing w:after="0" w:line="240" w:lineRule="auto"/>
            </w:pPr>
            <w:r>
              <w:rPr>
                <w:rFonts w:ascii="宋体" w:hAnsi="宋体" w:eastAsia="宋体"/>
                <w:sz w:val="18"/>
              </w:rPr>
              <w:t>S_award ≥ 0.93</w:t>
            </w:r>
          </w:p>
        </w:tc>
        <w:tc>
          <w:tcPr>
            <w:tcW w:w="4589" w:type="dxa"/>
            <w:vAlign w:val="center"/>
          </w:tcPr>
          <w:p w14:paraId="53EEDA8A">
            <w:pPr>
              <w:spacing w:after="0" w:line="240" w:lineRule="auto"/>
            </w:pPr>
            <w:r>
              <w:rPr>
                <w:rFonts w:ascii="宋体" w:hAnsi="宋体" w:eastAsia="宋体"/>
                <w:sz w:val="18"/>
              </w:rPr>
              <w:t>自动合并</w:t>
            </w:r>
          </w:p>
        </w:tc>
      </w:tr>
      <w:tr w14:paraId="5974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2E52F94">
            <w:pPr>
              <w:spacing w:after="0" w:line="240" w:lineRule="auto"/>
            </w:pPr>
            <w:r>
              <w:rPr>
                <w:rFonts w:ascii="宋体" w:hAnsi="宋体" w:eastAsia="宋体"/>
                <w:sz w:val="18"/>
              </w:rPr>
              <w:t>0.84 ≤ S_award &lt; 0.93</w:t>
            </w:r>
          </w:p>
        </w:tc>
        <w:tc>
          <w:tcPr>
            <w:tcW w:w="4589" w:type="dxa"/>
            <w:vAlign w:val="center"/>
          </w:tcPr>
          <w:p w14:paraId="08A892BD">
            <w:pPr>
              <w:spacing w:after="0" w:line="240" w:lineRule="auto"/>
            </w:pPr>
            <w:r>
              <w:rPr>
                <w:rFonts w:ascii="宋体" w:hAnsi="宋体" w:eastAsia="宋体"/>
                <w:sz w:val="18"/>
              </w:rPr>
              <w:t>进入人工复核队列</w:t>
            </w:r>
          </w:p>
        </w:tc>
      </w:tr>
      <w:tr w14:paraId="45FF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C1098B6">
            <w:pPr>
              <w:spacing w:after="0" w:line="240" w:lineRule="auto"/>
            </w:pPr>
            <w:r>
              <w:rPr>
                <w:rFonts w:ascii="宋体" w:hAnsi="宋体" w:eastAsia="宋体"/>
                <w:sz w:val="18"/>
              </w:rPr>
              <w:t>S_award &lt; 0.84</w:t>
            </w:r>
          </w:p>
        </w:tc>
        <w:tc>
          <w:tcPr>
            <w:tcW w:w="4589" w:type="dxa"/>
            <w:vAlign w:val="center"/>
          </w:tcPr>
          <w:p w14:paraId="39946697">
            <w:pPr>
              <w:spacing w:after="0" w:line="240" w:lineRule="auto"/>
            </w:pPr>
            <w:r>
              <w:rPr>
                <w:rFonts w:ascii="宋体" w:hAnsi="宋体" w:eastAsia="宋体"/>
                <w:sz w:val="18"/>
              </w:rPr>
              <w:t>保留为独立记录</w:t>
            </w:r>
          </w:p>
        </w:tc>
      </w:tr>
    </w:tbl>
    <w:p w14:paraId="6E5B2C4D"/>
    <w:p w14:paraId="410F91D9">
      <w:pPr>
        <w:pStyle w:val="3"/>
      </w:pPr>
      <w:r>
        <w:t>6. 作者与机构消歧算法</w:t>
      </w:r>
    </w:p>
    <w:p w14:paraId="26DA3AB9">
      <w:r>
        <w:t>以下规则作为 SPEC-DATA-03《作者与机构消歧规范》的主体内容。</w:t>
      </w:r>
    </w:p>
    <w:p w14:paraId="5410365E">
      <w:pPr>
        <w:pStyle w:val="4"/>
      </w:pPr>
      <w:r>
        <w:t>6.1 作者消歧</w:t>
      </w:r>
    </w:p>
    <w:p w14:paraId="3F15481D">
      <w:pPr>
        <w:pStyle w:val="5"/>
      </w:pPr>
      <w:r>
        <w:t>6.1.1 强标识匹配</w:t>
      </w:r>
    </w:p>
    <w:p w14:paraId="6EE5C55C">
      <w:pPr>
        <w:pStyle w:val="14"/>
        <w:spacing w:after="60"/>
      </w:pPr>
      <w:r>
        <w:t>两个作者记录具有同一经过校验的 ORCID iD 时，系统合并为同一研究人员实体。</w:t>
      </w:r>
    </w:p>
    <w:p w14:paraId="6256F8A6">
      <w:pPr>
        <w:pStyle w:val="14"/>
        <w:spacing w:after="60"/>
      </w:pPr>
      <w:r>
        <w:t>同一来源中的稳定作者标识保持唯一映射，例如 OpenAlex Author ID 和 DBLP person 标识。</w:t>
      </w:r>
    </w:p>
    <w:p w14:paraId="6458DE2F">
      <w:pPr>
        <w:pStyle w:val="14"/>
        <w:spacing w:after="60"/>
      </w:pPr>
      <w:r>
        <w:t>经过门户认领流程验证的研究人员账户与 ORCID 或指定作者实体建立人工确认关系，该关系的可信等级高于自动消歧结果。</w:t>
      </w:r>
    </w:p>
    <w:p w14:paraId="2A3A3B11">
      <w:pPr>
        <w:pStyle w:val="5"/>
      </w:pPr>
      <w:r>
        <w:t>6.1.2 无强标识情况下的评分</w:t>
      </w:r>
    </w:p>
    <w:p w14:paraId="4FA00C4B">
      <w:pPr>
        <w:jc w:val="center"/>
      </w:pPr>
      <w:r>
        <w:rPr>
          <w:b/>
        </w:rPr>
        <w:t>S_author = 0.30×S_name + 0.25×S_affiliation + 0.25×S_coauthor + 0.15×S_topic + 0.05×S_time</w:t>
      </w:r>
    </w:p>
    <w:p w14:paraId="59CAF846">
      <w:r>
        <w:t>S_name 表示姓名相似度；S_affiliation 表示机构历史重合程度；S_coauthor 表示共同作者集合相似度；S_topic 表示论文主题或关键词向量相似度；S_time 表示发表时间范围的一致性。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6871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307BF9E8">
            <w:pPr>
              <w:spacing w:after="0" w:line="240" w:lineRule="auto"/>
            </w:pPr>
            <w:r>
              <w:rPr>
                <w:rFonts w:ascii="宋体" w:hAnsi="宋体" w:eastAsia="宋体"/>
                <w:b/>
                <w:sz w:val="19"/>
              </w:rPr>
              <w:t>评分区间</w:t>
            </w:r>
          </w:p>
        </w:tc>
        <w:tc>
          <w:tcPr>
            <w:tcW w:w="4589" w:type="dxa"/>
            <w:shd w:val="clear" w:color="auto" w:fill="D9EAF7"/>
            <w:vAlign w:val="center"/>
          </w:tcPr>
          <w:p w14:paraId="6CB5C53A">
            <w:pPr>
              <w:spacing w:after="0" w:line="240" w:lineRule="auto"/>
            </w:pPr>
            <w:r>
              <w:rPr>
                <w:rFonts w:ascii="宋体" w:hAnsi="宋体" w:eastAsia="宋体"/>
                <w:b/>
                <w:sz w:val="19"/>
              </w:rPr>
              <w:t>处理结果</w:t>
            </w:r>
          </w:p>
        </w:tc>
      </w:tr>
      <w:tr w14:paraId="0D4C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8730D41">
            <w:pPr>
              <w:spacing w:after="0" w:line="240" w:lineRule="auto"/>
            </w:pPr>
            <w:r>
              <w:rPr>
                <w:rFonts w:ascii="宋体" w:hAnsi="宋体" w:eastAsia="宋体"/>
                <w:sz w:val="18"/>
              </w:rPr>
              <w:t>S_author ≥ 0.95</w:t>
            </w:r>
          </w:p>
        </w:tc>
        <w:tc>
          <w:tcPr>
            <w:tcW w:w="4589" w:type="dxa"/>
            <w:vAlign w:val="center"/>
          </w:tcPr>
          <w:p w14:paraId="17470581">
            <w:pPr>
              <w:spacing w:after="0" w:line="240" w:lineRule="auto"/>
            </w:pPr>
            <w:r>
              <w:rPr>
                <w:rFonts w:ascii="宋体" w:hAnsi="宋体" w:eastAsia="宋体"/>
                <w:sz w:val="18"/>
              </w:rPr>
              <w:t>自动合并</w:t>
            </w:r>
          </w:p>
        </w:tc>
      </w:tr>
      <w:tr w14:paraId="57CE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D461E19">
            <w:pPr>
              <w:spacing w:after="0" w:line="240" w:lineRule="auto"/>
            </w:pPr>
            <w:r>
              <w:rPr>
                <w:rFonts w:ascii="宋体" w:hAnsi="宋体" w:eastAsia="宋体"/>
                <w:sz w:val="18"/>
              </w:rPr>
              <w:t>0.85 ≤ S_author &lt; 0.95</w:t>
            </w:r>
          </w:p>
        </w:tc>
        <w:tc>
          <w:tcPr>
            <w:tcW w:w="4589" w:type="dxa"/>
            <w:vAlign w:val="center"/>
          </w:tcPr>
          <w:p w14:paraId="2F25C94D">
            <w:pPr>
              <w:spacing w:after="0" w:line="240" w:lineRule="auto"/>
            </w:pPr>
            <w:r>
              <w:rPr>
                <w:rFonts w:ascii="宋体" w:hAnsi="宋体" w:eastAsia="宋体"/>
                <w:sz w:val="18"/>
              </w:rPr>
              <w:t>进入人工复核队列</w:t>
            </w:r>
          </w:p>
        </w:tc>
      </w:tr>
      <w:tr w14:paraId="10CC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989564B">
            <w:pPr>
              <w:spacing w:after="0" w:line="240" w:lineRule="auto"/>
            </w:pPr>
            <w:r>
              <w:rPr>
                <w:rFonts w:ascii="宋体" w:hAnsi="宋体" w:eastAsia="宋体"/>
                <w:sz w:val="18"/>
              </w:rPr>
              <w:t>S_author &lt; 0.85</w:t>
            </w:r>
          </w:p>
        </w:tc>
        <w:tc>
          <w:tcPr>
            <w:tcW w:w="4589" w:type="dxa"/>
            <w:vAlign w:val="center"/>
          </w:tcPr>
          <w:p w14:paraId="5E3B9F26">
            <w:pPr>
              <w:spacing w:after="0" w:line="240" w:lineRule="auto"/>
            </w:pPr>
            <w:r>
              <w:rPr>
                <w:rFonts w:ascii="宋体" w:hAnsi="宋体" w:eastAsia="宋体"/>
                <w:sz w:val="18"/>
              </w:rPr>
              <w:t>保持独立研究人员实体</w:t>
            </w:r>
          </w:p>
        </w:tc>
      </w:tr>
    </w:tbl>
    <w:p w14:paraId="113E410F"/>
    <w:p w14:paraId="28B5C9AA">
      <w:r>
        <w:t>中文常见姓名和高频英文姓名采用更严格的自动合并条件。姓名完全相同仅用于候选召回。当候选作者缺少 ORCID，并且机构、共同作者和研究主题信息不足时，系统保持独立实体并等待后续数据补充。</w:t>
      </w:r>
    </w:p>
    <w:p w14:paraId="2D136449">
      <w:pPr>
        <w:pStyle w:val="4"/>
      </w:pPr>
      <w:r>
        <w:t>6.2 机构消歧</w:t>
      </w:r>
    </w:p>
    <w:p w14:paraId="408D105B">
      <w:pPr>
        <w:pStyle w:val="14"/>
        <w:spacing w:after="60"/>
      </w:pPr>
      <w:r>
        <w:t>来源记录包含 ROR ID 时，系统通过 ROR ID 直接关联机构主表。</w:t>
      </w:r>
    </w:p>
    <w:p w14:paraId="263A96FE">
      <w:pPr>
        <w:pStyle w:val="14"/>
        <w:spacing w:after="60"/>
      </w:pPr>
      <w:r>
        <w:t>来源记录缺少 ROR ID 时，系统首先匹配机构规范名称和别名表，然后结合国家或地区、城市、网站域名进行确认。</w:t>
      </w:r>
    </w:p>
    <w:p w14:paraId="5C9418B8">
      <w:pPr>
        <w:pStyle w:val="14"/>
        <w:spacing w:after="60"/>
      </w:pPr>
      <w:r>
        <w:t>院系、实验室和研究中心按照机构层级关系保存，顶层机构使用统一机构实体。</w:t>
      </w:r>
    </w:p>
    <w:p w14:paraId="43B93490">
      <w:pPr>
        <w:pStyle w:val="14"/>
        <w:spacing w:after="60"/>
      </w:pPr>
      <w:r>
        <w:t>机构更名、合并和拆分事件进入机构历史关系表，并且保存有效时间范围。</w:t>
      </w:r>
    </w:p>
    <w:p w14:paraId="77978FE5">
      <w:pPr>
        <w:pStyle w:val="3"/>
      </w:pPr>
      <w:r>
        <w:t>7. 多来源冲突数据处理方案</w:t>
      </w:r>
    </w:p>
    <w:p w14:paraId="7C891834">
      <w:r>
        <w:t>系统将字段冲突分为标识冲突、文本冲突、时间冲突、人员关系冲突、机构关系冲突和统计口径冲突。系统对每一个冲突字段保存候选值、来源、来源更新时间、可信等级和最终选值。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6EDB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2ADA64F8">
            <w:pPr>
              <w:spacing w:after="0" w:line="240" w:lineRule="auto"/>
            </w:pPr>
            <w:r>
              <w:rPr>
                <w:rFonts w:ascii="宋体" w:hAnsi="宋体" w:eastAsia="宋体"/>
                <w:b/>
                <w:sz w:val="19"/>
              </w:rPr>
              <w:t>冲突类型</w:t>
            </w:r>
          </w:p>
        </w:tc>
        <w:tc>
          <w:tcPr>
            <w:tcW w:w="4589" w:type="dxa"/>
            <w:shd w:val="clear" w:color="auto" w:fill="D9EAF7"/>
            <w:vAlign w:val="center"/>
          </w:tcPr>
          <w:p w14:paraId="36EA789A">
            <w:pPr>
              <w:spacing w:after="0" w:line="240" w:lineRule="auto"/>
            </w:pPr>
            <w:r>
              <w:rPr>
                <w:rFonts w:ascii="宋体" w:hAnsi="宋体" w:eastAsia="宋体"/>
                <w:b/>
                <w:sz w:val="19"/>
              </w:rPr>
              <w:t>处理规则</w:t>
            </w:r>
          </w:p>
        </w:tc>
      </w:tr>
      <w:tr w14:paraId="7749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041E2CA">
            <w:pPr>
              <w:spacing w:after="0" w:line="240" w:lineRule="auto"/>
            </w:pPr>
            <w:r>
              <w:rPr>
                <w:rFonts w:ascii="宋体" w:hAnsi="宋体" w:eastAsia="宋体"/>
                <w:sz w:val="18"/>
              </w:rPr>
              <w:t>DOI 冲突</w:t>
            </w:r>
          </w:p>
        </w:tc>
        <w:tc>
          <w:tcPr>
            <w:tcW w:w="4589" w:type="dxa"/>
            <w:vAlign w:val="center"/>
          </w:tcPr>
          <w:p w14:paraId="0B0ECB14">
            <w:pPr>
              <w:spacing w:after="0" w:line="240" w:lineRule="auto"/>
            </w:pPr>
            <w:r>
              <w:rPr>
                <w:rFonts w:ascii="宋体" w:hAnsi="宋体" w:eastAsia="宋体"/>
                <w:sz w:val="18"/>
              </w:rPr>
              <w:t>通过 Crossref 校验 DOI；两个合法 DOI 指向不同登记记录时保持独立成果，并进入关系复核</w:t>
            </w:r>
          </w:p>
        </w:tc>
      </w:tr>
      <w:tr w14:paraId="2017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21512A7">
            <w:pPr>
              <w:spacing w:after="0" w:line="240" w:lineRule="auto"/>
            </w:pPr>
            <w:r>
              <w:rPr>
                <w:rFonts w:ascii="宋体" w:hAnsi="宋体" w:eastAsia="宋体"/>
                <w:sz w:val="18"/>
              </w:rPr>
              <w:t>题名差异</w:t>
            </w:r>
          </w:p>
        </w:tc>
        <w:tc>
          <w:tcPr>
            <w:tcW w:w="4589" w:type="dxa"/>
            <w:vAlign w:val="center"/>
          </w:tcPr>
          <w:p w14:paraId="6D23CA5F">
            <w:pPr>
              <w:spacing w:after="0" w:line="240" w:lineRule="auto"/>
            </w:pPr>
            <w:r>
              <w:rPr>
                <w:rFonts w:ascii="宋体" w:hAnsi="宋体" w:eastAsia="宋体"/>
                <w:sz w:val="18"/>
              </w:rPr>
              <w:t>保存各来源题名；DOI 已确认时优先采用 DOI 登记元数据的题名作为主显示值；其他题名进入别名字段</w:t>
            </w:r>
          </w:p>
        </w:tc>
      </w:tr>
      <w:tr w14:paraId="36A1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77E63068">
            <w:pPr>
              <w:spacing w:after="0" w:line="240" w:lineRule="auto"/>
            </w:pPr>
            <w:r>
              <w:rPr>
                <w:rFonts w:ascii="宋体" w:hAnsi="宋体" w:eastAsia="宋体"/>
                <w:sz w:val="18"/>
              </w:rPr>
              <w:t>作者列表差异</w:t>
            </w:r>
          </w:p>
        </w:tc>
        <w:tc>
          <w:tcPr>
            <w:tcW w:w="4589" w:type="dxa"/>
            <w:vAlign w:val="center"/>
          </w:tcPr>
          <w:p w14:paraId="72DA47AB">
            <w:pPr>
              <w:spacing w:after="0" w:line="240" w:lineRule="auto"/>
            </w:pPr>
            <w:r>
              <w:rPr>
                <w:rFonts w:ascii="宋体" w:hAnsi="宋体" w:eastAsia="宋体"/>
                <w:sz w:val="18"/>
              </w:rPr>
              <w:t>保留来源作者列表；主记录按照来源可信等级和出版记录确定作者顺序；差异进入数据质量标记</w:t>
            </w:r>
          </w:p>
        </w:tc>
      </w:tr>
      <w:tr w14:paraId="2C40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E0503C2">
            <w:pPr>
              <w:spacing w:after="0" w:line="240" w:lineRule="auto"/>
            </w:pPr>
            <w:r>
              <w:rPr>
                <w:rFonts w:ascii="宋体" w:hAnsi="宋体" w:eastAsia="宋体"/>
                <w:sz w:val="18"/>
              </w:rPr>
              <w:t>出版年份差异</w:t>
            </w:r>
          </w:p>
        </w:tc>
        <w:tc>
          <w:tcPr>
            <w:tcW w:w="4589" w:type="dxa"/>
            <w:vAlign w:val="center"/>
          </w:tcPr>
          <w:p w14:paraId="63048A4F">
            <w:pPr>
              <w:spacing w:after="0" w:line="240" w:lineRule="auto"/>
            </w:pPr>
            <w:r>
              <w:rPr>
                <w:rFonts w:ascii="宋体" w:hAnsi="宋体" w:eastAsia="宋体"/>
                <w:sz w:val="18"/>
              </w:rPr>
              <w:t>同时保存 online_date、print_date、issue_year 等可区分日期；显示年份按照系统规定字段生成</w:t>
            </w:r>
          </w:p>
        </w:tc>
      </w:tr>
      <w:tr w14:paraId="4B05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3E10B78">
            <w:pPr>
              <w:spacing w:after="0" w:line="240" w:lineRule="auto"/>
            </w:pPr>
            <w:r>
              <w:rPr>
                <w:rFonts w:ascii="宋体" w:hAnsi="宋体" w:eastAsia="宋体"/>
                <w:sz w:val="18"/>
              </w:rPr>
              <w:t>机构差异</w:t>
            </w:r>
          </w:p>
        </w:tc>
        <w:tc>
          <w:tcPr>
            <w:tcW w:w="4589" w:type="dxa"/>
            <w:vAlign w:val="center"/>
          </w:tcPr>
          <w:p w14:paraId="0826A71A">
            <w:pPr>
              <w:spacing w:after="0" w:line="240" w:lineRule="auto"/>
            </w:pPr>
            <w:r>
              <w:rPr>
                <w:rFonts w:ascii="宋体" w:hAnsi="宋体" w:eastAsia="宋体"/>
                <w:sz w:val="18"/>
              </w:rPr>
              <w:t>作者—机构关系携带时间和来源；同一作者在不同年份出现不同机构属于正常历史关系</w:t>
            </w:r>
          </w:p>
        </w:tc>
      </w:tr>
      <w:tr w14:paraId="41E5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6F13D2D">
            <w:pPr>
              <w:spacing w:after="0" w:line="240" w:lineRule="auto"/>
            </w:pPr>
            <w:r>
              <w:rPr>
                <w:rFonts w:ascii="宋体" w:hAnsi="宋体" w:eastAsia="宋体"/>
                <w:sz w:val="18"/>
              </w:rPr>
              <w:t>引用次数差异</w:t>
            </w:r>
          </w:p>
        </w:tc>
        <w:tc>
          <w:tcPr>
            <w:tcW w:w="4589" w:type="dxa"/>
            <w:vAlign w:val="center"/>
          </w:tcPr>
          <w:p w14:paraId="24154BDF">
            <w:pPr>
              <w:spacing w:after="0" w:line="240" w:lineRule="auto"/>
            </w:pPr>
            <w:r>
              <w:rPr>
                <w:rFonts w:ascii="宋体" w:hAnsi="宋体" w:eastAsia="宋体"/>
                <w:sz w:val="18"/>
              </w:rPr>
              <w:t>按照 OpenAlex、OpenCitations 等来源分别保存；系统禁止将不同口径的引用次数直接覆盖</w:t>
            </w:r>
          </w:p>
        </w:tc>
      </w:tr>
      <w:tr w14:paraId="3EF0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71C16DF">
            <w:pPr>
              <w:spacing w:after="0" w:line="240" w:lineRule="auto"/>
            </w:pPr>
            <w:r>
              <w:rPr>
                <w:rFonts w:ascii="宋体" w:hAnsi="宋体" w:eastAsia="宋体"/>
                <w:sz w:val="18"/>
              </w:rPr>
              <w:t>专利法律状态差异</w:t>
            </w:r>
          </w:p>
        </w:tc>
        <w:tc>
          <w:tcPr>
            <w:tcW w:w="4589" w:type="dxa"/>
            <w:vAlign w:val="center"/>
          </w:tcPr>
          <w:p w14:paraId="191772E9">
            <w:pPr>
              <w:spacing w:after="0" w:line="240" w:lineRule="auto"/>
            </w:pPr>
            <w:r>
              <w:rPr>
                <w:rFonts w:ascii="宋体" w:hAnsi="宋体" w:eastAsia="宋体"/>
                <w:sz w:val="18"/>
              </w:rPr>
              <w:t>中国专利优先使用国家知识产权局公开信息；国际专利保存各主管机构或 EPO 来源状态和更新时间</w:t>
            </w:r>
          </w:p>
        </w:tc>
      </w:tr>
      <w:tr w14:paraId="614C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5590013C">
            <w:pPr>
              <w:spacing w:after="0" w:line="240" w:lineRule="auto"/>
            </w:pPr>
            <w:r>
              <w:rPr>
                <w:rFonts w:ascii="宋体" w:hAnsi="宋体" w:eastAsia="宋体"/>
                <w:sz w:val="18"/>
              </w:rPr>
              <w:t>奖励信息差异</w:t>
            </w:r>
          </w:p>
        </w:tc>
        <w:tc>
          <w:tcPr>
            <w:tcW w:w="4589" w:type="dxa"/>
            <w:vAlign w:val="center"/>
          </w:tcPr>
          <w:p w14:paraId="6EC1BD9E">
            <w:pPr>
              <w:spacing w:after="0" w:line="240" w:lineRule="auto"/>
            </w:pPr>
            <w:r>
              <w:rPr>
                <w:rFonts w:ascii="宋体" w:hAnsi="宋体" w:eastAsia="宋体"/>
                <w:sz w:val="18"/>
              </w:rPr>
              <w:t>授奖机构官方公告具有最高优先级；新闻稿、学校新闻和二次转载仅作为线索来源</w:t>
            </w:r>
          </w:p>
        </w:tc>
      </w:tr>
    </w:tbl>
    <w:p w14:paraId="53270811"/>
    <w:p w14:paraId="72A11376">
      <w:pPr>
        <w:pStyle w:val="4"/>
      </w:pPr>
      <w:r>
        <w:t>7.1 来源可信等级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60"/>
        <w:gridCol w:w="3060"/>
      </w:tblGrid>
      <w:tr w14:paraId="372A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0" w:type="dxa"/>
            <w:shd w:val="clear" w:color="auto" w:fill="D9EAF7"/>
            <w:vAlign w:val="center"/>
          </w:tcPr>
          <w:p w14:paraId="4E7B01F8">
            <w:pPr>
              <w:spacing w:after="0" w:line="240" w:lineRule="auto"/>
            </w:pPr>
            <w:r>
              <w:rPr>
                <w:rFonts w:ascii="宋体" w:hAnsi="宋体" w:eastAsia="宋体"/>
                <w:b/>
                <w:sz w:val="19"/>
              </w:rPr>
              <w:t>等级</w:t>
            </w:r>
          </w:p>
        </w:tc>
        <w:tc>
          <w:tcPr>
            <w:tcW w:w="3060" w:type="dxa"/>
            <w:shd w:val="clear" w:color="auto" w:fill="D9EAF7"/>
            <w:vAlign w:val="center"/>
          </w:tcPr>
          <w:p w14:paraId="2AD79AC8">
            <w:pPr>
              <w:spacing w:after="0" w:line="240" w:lineRule="auto"/>
            </w:pPr>
            <w:r>
              <w:rPr>
                <w:rFonts w:ascii="宋体" w:hAnsi="宋体" w:eastAsia="宋体"/>
                <w:b/>
                <w:sz w:val="19"/>
              </w:rPr>
              <w:t>来源类型</w:t>
            </w:r>
          </w:p>
        </w:tc>
        <w:tc>
          <w:tcPr>
            <w:tcW w:w="3060" w:type="dxa"/>
            <w:shd w:val="clear" w:color="auto" w:fill="D9EAF7"/>
            <w:vAlign w:val="center"/>
          </w:tcPr>
          <w:p w14:paraId="2A739209">
            <w:pPr>
              <w:spacing w:after="0" w:line="240" w:lineRule="auto"/>
            </w:pPr>
            <w:r>
              <w:rPr>
                <w:rFonts w:ascii="宋体" w:hAnsi="宋体" w:eastAsia="宋体"/>
                <w:b/>
                <w:sz w:val="19"/>
              </w:rPr>
              <w:t>示例</w:t>
            </w:r>
          </w:p>
        </w:tc>
      </w:tr>
      <w:tr w14:paraId="75CE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6FA33D30">
            <w:pPr>
              <w:spacing w:after="0" w:line="240" w:lineRule="auto"/>
            </w:pPr>
            <w:r>
              <w:rPr>
                <w:rFonts w:ascii="宋体" w:hAnsi="宋体" w:eastAsia="宋体"/>
                <w:sz w:val="18"/>
              </w:rPr>
              <w:t>A</w:t>
            </w:r>
          </w:p>
        </w:tc>
        <w:tc>
          <w:tcPr>
            <w:tcW w:w="3060" w:type="dxa"/>
            <w:vAlign w:val="center"/>
          </w:tcPr>
          <w:p w14:paraId="14A12034">
            <w:pPr>
              <w:spacing w:after="0" w:line="240" w:lineRule="auto"/>
            </w:pPr>
            <w:r>
              <w:rPr>
                <w:rFonts w:ascii="宋体" w:hAnsi="宋体" w:eastAsia="宋体"/>
                <w:sz w:val="18"/>
              </w:rPr>
              <w:t>成果登记机构、主管机关、正式授奖机构</w:t>
            </w:r>
          </w:p>
        </w:tc>
        <w:tc>
          <w:tcPr>
            <w:tcW w:w="3060" w:type="dxa"/>
            <w:vAlign w:val="center"/>
          </w:tcPr>
          <w:p w14:paraId="086CF06B">
            <w:pPr>
              <w:spacing w:after="0" w:line="240" w:lineRule="auto"/>
            </w:pPr>
            <w:r>
              <w:rPr>
                <w:rFonts w:ascii="宋体" w:hAnsi="宋体" w:eastAsia="宋体"/>
                <w:sz w:val="18"/>
              </w:rPr>
              <w:t>Crossref DOI 登记元数据、国家知识产权局、国家科学技术奖励工作办公室、CCF 奖励官方公告</w:t>
            </w:r>
          </w:p>
        </w:tc>
      </w:tr>
      <w:tr w14:paraId="16AB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43869FB6">
            <w:pPr>
              <w:spacing w:after="0" w:line="240" w:lineRule="auto"/>
            </w:pPr>
            <w:r>
              <w:rPr>
                <w:rFonts w:ascii="宋体" w:hAnsi="宋体" w:eastAsia="宋体"/>
                <w:sz w:val="18"/>
              </w:rPr>
              <w:t>B</w:t>
            </w:r>
          </w:p>
        </w:tc>
        <w:tc>
          <w:tcPr>
            <w:tcW w:w="3060" w:type="dxa"/>
            <w:vAlign w:val="center"/>
          </w:tcPr>
          <w:p w14:paraId="1592FD0D">
            <w:pPr>
              <w:spacing w:after="0" w:line="240" w:lineRule="auto"/>
            </w:pPr>
            <w:r>
              <w:rPr>
                <w:rFonts w:ascii="宋体" w:hAnsi="宋体" w:eastAsia="宋体"/>
                <w:sz w:val="18"/>
              </w:rPr>
              <w:t>专业开放学术数据库和标准身份库</w:t>
            </w:r>
          </w:p>
        </w:tc>
        <w:tc>
          <w:tcPr>
            <w:tcW w:w="3060" w:type="dxa"/>
            <w:vAlign w:val="center"/>
          </w:tcPr>
          <w:p w14:paraId="55C0EA17">
            <w:pPr>
              <w:spacing w:after="0" w:line="240" w:lineRule="auto"/>
            </w:pPr>
            <w:r>
              <w:rPr>
                <w:rFonts w:ascii="宋体" w:hAnsi="宋体" w:eastAsia="宋体"/>
                <w:sz w:val="18"/>
              </w:rPr>
              <w:t>OpenAlex、DBLP、ORCID、ROR、OpenCitations</w:t>
            </w:r>
          </w:p>
        </w:tc>
      </w:tr>
      <w:tr w14:paraId="4AE2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5F26440F">
            <w:pPr>
              <w:spacing w:after="0" w:line="240" w:lineRule="auto"/>
            </w:pPr>
            <w:r>
              <w:rPr>
                <w:rFonts w:ascii="宋体" w:hAnsi="宋体" w:eastAsia="宋体"/>
                <w:sz w:val="18"/>
              </w:rPr>
              <w:t>C</w:t>
            </w:r>
          </w:p>
        </w:tc>
        <w:tc>
          <w:tcPr>
            <w:tcW w:w="3060" w:type="dxa"/>
            <w:vAlign w:val="center"/>
          </w:tcPr>
          <w:p w14:paraId="2ABD9AD8">
            <w:pPr>
              <w:spacing w:after="0" w:line="240" w:lineRule="auto"/>
            </w:pPr>
            <w:r>
              <w:rPr>
                <w:rFonts w:ascii="宋体" w:hAnsi="宋体" w:eastAsia="宋体"/>
                <w:sz w:val="18"/>
              </w:rPr>
              <w:t>科研机构官方网站和正式公告</w:t>
            </w:r>
          </w:p>
        </w:tc>
        <w:tc>
          <w:tcPr>
            <w:tcW w:w="3060" w:type="dxa"/>
            <w:vAlign w:val="center"/>
          </w:tcPr>
          <w:p w14:paraId="7FF197CF">
            <w:pPr>
              <w:spacing w:after="0" w:line="240" w:lineRule="auto"/>
            </w:pPr>
            <w:r>
              <w:rPr>
                <w:rFonts w:ascii="宋体" w:hAnsi="宋体" w:eastAsia="宋体"/>
                <w:sz w:val="18"/>
              </w:rPr>
              <w:t>大学、科研院所的成果页面</w:t>
            </w:r>
          </w:p>
        </w:tc>
      </w:tr>
      <w:tr w14:paraId="3754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3FDA42A5">
            <w:pPr>
              <w:spacing w:after="0" w:line="240" w:lineRule="auto"/>
            </w:pPr>
            <w:r>
              <w:rPr>
                <w:rFonts w:ascii="宋体" w:hAnsi="宋体" w:eastAsia="宋体"/>
                <w:sz w:val="18"/>
              </w:rPr>
              <w:t>D</w:t>
            </w:r>
          </w:p>
        </w:tc>
        <w:tc>
          <w:tcPr>
            <w:tcW w:w="3060" w:type="dxa"/>
            <w:vAlign w:val="center"/>
          </w:tcPr>
          <w:p w14:paraId="75A882FA">
            <w:pPr>
              <w:spacing w:after="0" w:line="240" w:lineRule="auto"/>
            </w:pPr>
            <w:r>
              <w:rPr>
                <w:rFonts w:ascii="宋体" w:hAnsi="宋体" w:eastAsia="宋体"/>
                <w:sz w:val="18"/>
              </w:rPr>
              <w:t>新闻媒体、转载页面、搜索结果摘要</w:t>
            </w:r>
          </w:p>
        </w:tc>
        <w:tc>
          <w:tcPr>
            <w:tcW w:w="3060" w:type="dxa"/>
            <w:vAlign w:val="center"/>
          </w:tcPr>
          <w:p w14:paraId="16044E09">
            <w:pPr>
              <w:spacing w:after="0" w:line="240" w:lineRule="auto"/>
            </w:pPr>
            <w:r>
              <w:rPr>
                <w:rFonts w:ascii="宋体" w:hAnsi="宋体" w:eastAsia="宋体"/>
                <w:sz w:val="18"/>
              </w:rPr>
              <w:t>仅用于线索发现，正式记录需要回到 A/B/C 级来源确认</w:t>
            </w:r>
          </w:p>
        </w:tc>
      </w:tr>
    </w:tbl>
    <w:p w14:paraId="43EB5346"/>
    <w:p w14:paraId="455F112F">
      <w:pPr>
        <w:pStyle w:val="4"/>
      </w:pPr>
      <w:r>
        <w:t>7.2 人工复核队列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60"/>
        <w:gridCol w:w="3060"/>
      </w:tblGrid>
      <w:tr w14:paraId="74BB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0" w:type="dxa"/>
            <w:shd w:val="clear" w:color="auto" w:fill="D9EAF7"/>
            <w:vAlign w:val="center"/>
          </w:tcPr>
          <w:p w14:paraId="689962C9">
            <w:pPr>
              <w:spacing w:after="0" w:line="240" w:lineRule="auto"/>
            </w:pPr>
            <w:r>
              <w:rPr>
                <w:rFonts w:ascii="宋体" w:hAnsi="宋体" w:eastAsia="宋体"/>
                <w:b/>
                <w:sz w:val="19"/>
              </w:rPr>
              <w:t>复核类型</w:t>
            </w:r>
          </w:p>
        </w:tc>
        <w:tc>
          <w:tcPr>
            <w:tcW w:w="3060" w:type="dxa"/>
            <w:shd w:val="clear" w:color="auto" w:fill="D9EAF7"/>
            <w:vAlign w:val="center"/>
          </w:tcPr>
          <w:p w14:paraId="26134601">
            <w:pPr>
              <w:spacing w:after="0" w:line="240" w:lineRule="auto"/>
            </w:pPr>
            <w:r>
              <w:rPr>
                <w:rFonts w:ascii="宋体" w:hAnsi="宋体" w:eastAsia="宋体"/>
                <w:b/>
                <w:sz w:val="19"/>
              </w:rPr>
              <w:t>触发条件</w:t>
            </w:r>
          </w:p>
        </w:tc>
        <w:tc>
          <w:tcPr>
            <w:tcW w:w="3060" w:type="dxa"/>
            <w:shd w:val="clear" w:color="auto" w:fill="D9EAF7"/>
            <w:vAlign w:val="center"/>
          </w:tcPr>
          <w:p w14:paraId="7CDAF21C">
            <w:pPr>
              <w:spacing w:after="0" w:line="240" w:lineRule="auto"/>
            </w:pPr>
            <w:r>
              <w:rPr>
                <w:rFonts w:ascii="宋体" w:hAnsi="宋体" w:eastAsia="宋体"/>
                <w:b/>
                <w:sz w:val="19"/>
              </w:rPr>
              <w:t>复核结果</w:t>
            </w:r>
          </w:p>
        </w:tc>
      </w:tr>
      <w:tr w14:paraId="5269F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24AB9F73">
            <w:pPr>
              <w:spacing w:after="0" w:line="240" w:lineRule="auto"/>
            </w:pPr>
            <w:r>
              <w:rPr>
                <w:rFonts w:ascii="宋体" w:hAnsi="宋体" w:eastAsia="宋体"/>
                <w:sz w:val="18"/>
              </w:rPr>
              <w:t>论文重复复核</w:t>
            </w:r>
          </w:p>
        </w:tc>
        <w:tc>
          <w:tcPr>
            <w:tcW w:w="3060" w:type="dxa"/>
            <w:vAlign w:val="center"/>
          </w:tcPr>
          <w:p w14:paraId="520FA8E8">
            <w:pPr>
              <w:spacing w:after="0" w:line="240" w:lineRule="auto"/>
            </w:pPr>
            <w:r>
              <w:rPr>
                <w:rFonts w:ascii="宋体" w:hAnsi="宋体" w:eastAsia="宋体"/>
                <w:sz w:val="18"/>
              </w:rPr>
              <w:t>论文相似度位于 0.82 至 0.92</w:t>
            </w:r>
          </w:p>
        </w:tc>
        <w:tc>
          <w:tcPr>
            <w:tcW w:w="3060" w:type="dxa"/>
            <w:vAlign w:val="center"/>
          </w:tcPr>
          <w:p w14:paraId="40E0DEF1">
            <w:pPr>
              <w:spacing w:after="0" w:line="240" w:lineRule="auto"/>
            </w:pPr>
            <w:r>
              <w:rPr>
                <w:rFonts w:ascii="宋体" w:hAnsi="宋体" w:eastAsia="宋体"/>
                <w:sz w:val="18"/>
              </w:rPr>
              <w:t>合并、保持独立、建立版本关系</w:t>
            </w:r>
          </w:p>
        </w:tc>
      </w:tr>
      <w:tr w14:paraId="7021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278D5D0B">
            <w:pPr>
              <w:spacing w:after="0" w:line="240" w:lineRule="auto"/>
            </w:pPr>
            <w:r>
              <w:rPr>
                <w:rFonts w:ascii="宋体" w:hAnsi="宋体" w:eastAsia="宋体"/>
                <w:sz w:val="18"/>
              </w:rPr>
              <w:t>作者消歧复核</w:t>
            </w:r>
          </w:p>
        </w:tc>
        <w:tc>
          <w:tcPr>
            <w:tcW w:w="3060" w:type="dxa"/>
            <w:vAlign w:val="center"/>
          </w:tcPr>
          <w:p w14:paraId="1478A39A">
            <w:pPr>
              <w:spacing w:after="0" w:line="240" w:lineRule="auto"/>
            </w:pPr>
            <w:r>
              <w:rPr>
                <w:rFonts w:ascii="宋体" w:hAnsi="宋体" w:eastAsia="宋体"/>
                <w:sz w:val="18"/>
              </w:rPr>
              <w:t>作者相似度位于 0.85 至 0.95</w:t>
            </w:r>
          </w:p>
        </w:tc>
        <w:tc>
          <w:tcPr>
            <w:tcW w:w="3060" w:type="dxa"/>
            <w:vAlign w:val="center"/>
          </w:tcPr>
          <w:p w14:paraId="647F21AE">
            <w:pPr>
              <w:spacing w:after="0" w:line="240" w:lineRule="auto"/>
            </w:pPr>
            <w:r>
              <w:rPr>
                <w:rFonts w:ascii="宋体" w:hAnsi="宋体" w:eastAsia="宋体"/>
                <w:sz w:val="18"/>
              </w:rPr>
              <w:t>合并、保持独立、等待更多证据</w:t>
            </w:r>
          </w:p>
        </w:tc>
      </w:tr>
      <w:tr w14:paraId="10A0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298FD7CF">
            <w:pPr>
              <w:spacing w:after="0" w:line="240" w:lineRule="auto"/>
            </w:pPr>
            <w:r>
              <w:rPr>
                <w:rFonts w:ascii="宋体" w:hAnsi="宋体" w:eastAsia="宋体"/>
                <w:sz w:val="18"/>
              </w:rPr>
              <w:t>奖励重复复核</w:t>
            </w:r>
          </w:p>
        </w:tc>
        <w:tc>
          <w:tcPr>
            <w:tcW w:w="3060" w:type="dxa"/>
            <w:vAlign w:val="center"/>
          </w:tcPr>
          <w:p w14:paraId="0CA559AE">
            <w:pPr>
              <w:spacing w:after="0" w:line="240" w:lineRule="auto"/>
            </w:pPr>
            <w:r>
              <w:rPr>
                <w:rFonts w:ascii="宋体" w:hAnsi="宋体" w:eastAsia="宋体"/>
                <w:sz w:val="18"/>
              </w:rPr>
              <w:t>奖励相似度位于 0.84 至 0.93</w:t>
            </w:r>
          </w:p>
        </w:tc>
        <w:tc>
          <w:tcPr>
            <w:tcW w:w="3060" w:type="dxa"/>
            <w:vAlign w:val="center"/>
          </w:tcPr>
          <w:p w14:paraId="499F2173">
            <w:pPr>
              <w:spacing w:after="0" w:line="240" w:lineRule="auto"/>
            </w:pPr>
            <w:r>
              <w:rPr>
                <w:rFonts w:ascii="宋体" w:hAnsi="宋体" w:eastAsia="宋体"/>
                <w:sz w:val="18"/>
              </w:rPr>
              <w:t>合并或保持独立</w:t>
            </w:r>
          </w:p>
        </w:tc>
      </w:tr>
      <w:tr w14:paraId="290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57C29CF6">
            <w:pPr>
              <w:spacing w:after="0" w:line="240" w:lineRule="auto"/>
            </w:pPr>
            <w:r>
              <w:rPr>
                <w:rFonts w:ascii="宋体" w:hAnsi="宋体" w:eastAsia="宋体"/>
                <w:sz w:val="18"/>
              </w:rPr>
              <w:t>关键字段冲突</w:t>
            </w:r>
          </w:p>
        </w:tc>
        <w:tc>
          <w:tcPr>
            <w:tcW w:w="3060" w:type="dxa"/>
            <w:vAlign w:val="center"/>
          </w:tcPr>
          <w:p w14:paraId="0EDA1FDF">
            <w:pPr>
              <w:spacing w:after="0" w:line="240" w:lineRule="auto"/>
            </w:pPr>
            <w:r>
              <w:rPr>
                <w:rFonts w:ascii="宋体" w:hAnsi="宋体" w:eastAsia="宋体"/>
                <w:sz w:val="18"/>
              </w:rPr>
              <w:t>A 级来源之间出现关键字段冲突</w:t>
            </w:r>
          </w:p>
        </w:tc>
        <w:tc>
          <w:tcPr>
            <w:tcW w:w="3060" w:type="dxa"/>
            <w:vAlign w:val="center"/>
          </w:tcPr>
          <w:p w14:paraId="401352AF">
            <w:pPr>
              <w:spacing w:after="0" w:line="240" w:lineRule="auto"/>
            </w:pPr>
            <w:r>
              <w:rPr>
                <w:rFonts w:ascii="宋体" w:hAnsi="宋体" w:eastAsia="宋体"/>
                <w:sz w:val="18"/>
              </w:rPr>
              <w:t>指定主值并记录审核说明</w:t>
            </w:r>
          </w:p>
        </w:tc>
      </w:tr>
      <w:tr w14:paraId="2A97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5BF68476">
            <w:pPr>
              <w:spacing w:after="0" w:line="240" w:lineRule="auto"/>
            </w:pPr>
            <w:r>
              <w:rPr>
                <w:rFonts w:ascii="宋体" w:hAnsi="宋体" w:eastAsia="宋体"/>
                <w:sz w:val="18"/>
              </w:rPr>
              <w:t>门户认领纠错</w:t>
            </w:r>
          </w:p>
        </w:tc>
        <w:tc>
          <w:tcPr>
            <w:tcW w:w="3060" w:type="dxa"/>
            <w:vAlign w:val="center"/>
          </w:tcPr>
          <w:p w14:paraId="71959A6E">
            <w:pPr>
              <w:spacing w:after="0" w:line="240" w:lineRule="auto"/>
            </w:pPr>
            <w:r>
              <w:rPr>
                <w:rFonts w:ascii="宋体" w:hAnsi="宋体" w:eastAsia="宋体"/>
                <w:sz w:val="18"/>
              </w:rPr>
              <w:t>经认证科研人员提交成果归属纠错</w:t>
            </w:r>
          </w:p>
        </w:tc>
        <w:tc>
          <w:tcPr>
            <w:tcW w:w="3060" w:type="dxa"/>
            <w:vAlign w:val="center"/>
          </w:tcPr>
          <w:p w14:paraId="7ECAE3CC">
            <w:pPr>
              <w:spacing w:after="0" w:line="240" w:lineRule="auto"/>
            </w:pPr>
            <w:r>
              <w:rPr>
                <w:rFonts w:ascii="宋体" w:hAnsi="宋体" w:eastAsia="宋体"/>
                <w:sz w:val="18"/>
              </w:rPr>
              <w:t>管理员审核以后修正实体关系，并保留审计记录</w:t>
            </w:r>
          </w:p>
        </w:tc>
      </w:tr>
    </w:tbl>
    <w:p w14:paraId="5026A0EB"/>
    <w:p w14:paraId="755829E2">
      <w:pPr>
        <w:pStyle w:val="3"/>
      </w:pPr>
      <w:r>
        <w:t>8. 检索排序规则</w:t>
      </w:r>
    </w:p>
    <w:p w14:paraId="66F5C3BE">
      <w:r>
        <w:t>以下规则作为 SPEC-SEARCH-01《检索排序规范》的主体内容。检索模块按照成果类型设置字段权重，并支持相关度、时间、引用次数等明确排序方式。</w:t>
      </w:r>
    </w:p>
    <w:p w14:paraId="21B73A84">
      <w:pPr>
        <w:pStyle w:val="4"/>
      </w:pPr>
      <w:r>
        <w:t>8.1 论文检索</w:t>
      </w:r>
    </w:p>
    <w:p w14:paraId="7A0E6692">
      <w:r>
        <w:t>论文默认相关度排序使用以下综合得分：</w:t>
      </w:r>
    </w:p>
    <w:p w14:paraId="048394CC">
      <w:pPr>
        <w:jc w:val="center"/>
      </w:pPr>
      <w:r>
        <w:rPr>
          <w:b/>
        </w:rPr>
        <w:t>Score_paper = 0.80×R_text + 0.10×R_citation + 0.05×R_recency + 0.05×R_quality</w:t>
      </w:r>
    </w:p>
    <w:p w14:paraId="4C2E2EB3">
      <w:r>
        <w:t>其中各部分统一归一化到 [0,1]。R_text 使用字段加权的 BM25 相关度：</w:t>
      </w:r>
    </w:p>
    <w:p w14:paraId="268FA54B">
      <w:pPr>
        <w:jc w:val="center"/>
      </w:pPr>
      <w:r>
        <w:rPr>
          <w:b/>
        </w:rPr>
        <w:t>R_text = 0.45×Title + 0.20×Abstract + 0.15×Keywords + 0.10×Author + 0.05×Venue + 0.05×Institution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4C6F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55C9CD0C">
            <w:pPr>
              <w:spacing w:after="0" w:line="240" w:lineRule="auto"/>
            </w:pPr>
            <w:r>
              <w:rPr>
                <w:rFonts w:ascii="宋体" w:hAnsi="宋体" w:eastAsia="宋体"/>
                <w:b/>
                <w:sz w:val="19"/>
              </w:rPr>
              <w:t>组成项</w:t>
            </w:r>
          </w:p>
        </w:tc>
        <w:tc>
          <w:tcPr>
            <w:tcW w:w="4589" w:type="dxa"/>
            <w:shd w:val="clear" w:color="auto" w:fill="D9EAF7"/>
            <w:vAlign w:val="center"/>
          </w:tcPr>
          <w:p w14:paraId="6C5B8C22">
            <w:pPr>
              <w:spacing w:after="0" w:line="240" w:lineRule="auto"/>
            </w:pPr>
            <w:r>
              <w:rPr>
                <w:rFonts w:ascii="宋体" w:hAnsi="宋体" w:eastAsia="宋体"/>
                <w:b/>
                <w:sz w:val="19"/>
              </w:rPr>
              <w:t>计算规则</w:t>
            </w:r>
          </w:p>
        </w:tc>
      </w:tr>
      <w:tr w14:paraId="2F14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8BA1ACA">
            <w:pPr>
              <w:spacing w:after="0" w:line="240" w:lineRule="auto"/>
            </w:pPr>
            <w:r>
              <w:rPr>
                <w:rFonts w:ascii="宋体" w:hAnsi="宋体" w:eastAsia="宋体"/>
                <w:sz w:val="18"/>
              </w:rPr>
              <w:t>Title</w:t>
            </w:r>
          </w:p>
        </w:tc>
        <w:tc>
          <w:tcPr>
            <w:tcW w:w="4589" w:type="dxa"/>
            <w:vAlign w:val="center"/>
          </w:tcPr>
          <w:p w14:paraId="6B3E6D38">
            <w:pPr>
              <w:spacing w:after="0" w:line="240" w:lineRule="auto"/>
            </w:pPr>
            <w:r>
              <w:rPr>
                <w:rFonts w:ascii="宋体" w:hAnsi="宋体" w:eastAsia="宋体"/>
                <w:sz w:val="18"/>
              </w:rPr>
              <w:t>题名 BM25 得分归一化</w:t>
            </w:r>
          </w:p>
        </w:tc>
      </w:tr>
      <w:tr w14:paraId="1C4B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395CFA3">
            <w:pPr>
              <w:spacing w:after="0" w:line="240" w:lineRule="auto"/>
            </w:pPr>
            <w:r>
              <w:rPr>
                <w:rFonts w:ascii="宋体" w:hAnsi="宋体" w:eastAsia="宋体"/>
                <w:sz w:val="18"/>
              </w:rPr>
              <w:t>Abstract</w:t>
            </w:r>
          </w:p>
        </w:tc>
        <w:tc>
          <w:tcPr>
            <w:tcW w:w="4589" w:type="dxa"/>
            <w:vAlign w:val="center"/>
          </w:tcPr>
          <w:p w14:paraId="6B19C71C">
            <w:pPr>
              <w:spacing w:after="0" w:line="240" w:lineRule="auto"/>
            </w:pPr>
            <w:r>
              <w:rPr>
                <w:rFonts w:ascii="宋体" w:hAnsi="宋体" w:eastAsia="宋体"/>
                <w:sz w:val="18"/>
              </w:rPr>
              <w:t>摘要 BM25 得分归一化</w:t>
            </w:r>
          </w:p>
        </w:tc>
      </w:tr>
      <w:tr w14:paraId="0806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DF187F6">
            <w:pPr>
              <w:spacing w:after="0" w:line="240" w:lineRule="auto"/>
            </w:pPr>
            <w:r>
              <w:rPr>
                <w:rFonts w:ascii="宋体" w:hAnsi="宋体" w:eastAsia="宋体"/>
                <w:sz w:val="18"/>
              </w:rPr>
              <w:t>Keywords</w:t>
            </w:r>
          </w:p>
        </w:tc>
        <w:tc>
          <w:tcPr>
            <w:tcW w:w="4589" w:type="dxa"/>
            <w:vAlign w:val="center"/>
          </w:tcPr>
          <w:p w14:paraId="17CE4CB0">
            <w:pPr>
              <w:spacing w:after="0" w:line="240" w:lineRule="auto"/>
            </w:pPr>
            <w:r>
              <w:rPr>
                <w:rFonts w:ascii="宋体" w:hAnsi="宋体" w:eastAsia="宋体"/>
                <w:sz w:val="18"/>
              </w:rPr>
              <w:t>关键词与研究主题字段 BM25 得分归一化</w:t>
            </w:r>
          </w:p>
        </w:tc>
      </w:tr>
      <w:tr w14:paraId="4378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9EB46CA">
            <w:pPr>
              <w:spacing w:after="0" w:line="240" w:lineRule="auto"/>
            </w:pPr>
            <w:r>
              <w:rPr>
                <w:rFonts w:ascii="宋体" w:hAnsi="宋体" w:eastAsia="宋体"/>
                <w:sz w:val="18"/>
              </w:rPr>
              <w:t>Author</w:t>
            </w:r>
          </w:p>
        </w:tc>
        <w:tc>
          <w:tcPr>
            <w:tcW w:w="4589" w:type="dxa"/>
            <w:vAlign w:val="center"/>
          </w:tcPr>
          <w:p w14:paraId="472FC8AD">
            <w:pPr>
              <w:spacing w:after="0" w:line="240" w:lineRule="auto"/>
            </w:pPr>
            <w:r>
              <w:rPr>
                <w:rFonts w:ascii="宋体" w:hAnsi="宋体" w:eastAsia="宋体"/>
                <w:sz w:val="18"/>
              </w:rPr>
              <w:t>作者姓名与作者别名匹配得分</w:t>
            </w:r>
          </w:p>
        </w:tc>
      </w:tr>
      <w:tr w14:paraId="4880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AF236D8">
            <w:pPr>
              <w:spacing w:after="0" w:line="240" w:lineRule="auto"/>
            </w:pPr>
            <w:r>
              <w:rPr>
                <w:rFonts w:ascii="宋体" w:hAnsi="宋体" w:eastAsia="宋体"/>
                <w:sz w:val="18"/>
              </w:rPr>
              <w:t>Venue</w:t>
            </w:r>
          </w:p>
        </w:tc>
        <w:tc>
          <w:tcPr>
            <w:tcW w:w="4589" w:type="dxa"/>
            <w:vAlign w:val="center"/>
          </w:tcPr>
          <w:p w14:paraId="49E71020">
            <w:pPr>
              <w:spacing w:after="0" w:line="240" w:lineRule="auto"/>
            </w:pPr>
            <w:r>
              <w:rPr>
                <w:rFonts w:ascii="宋体" w:hAnsi="宋体" w:eastAsia="宋体"/>
                <w:sz w:val="18"/>
              </w:rPr>
              <w:t>期刊或会议名称匹配得分</w:t>
            </w:r>
          </w:p>
        </w:tc>
      </w:tr>
      <w:tr w14:paraId="4007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A13D6BE">
            <w:pPr>
              <w:spacing w:after="0" w:line="240" w:lineRule="auto"/>
            </w:pPr>
            <w:r>
              <w:rPr>
                <w:rFonts w:ascii="宋体" w:hAnsi="宋体" w:eastAsia="宋体"/>
                <w:sz w:val="18"/>
              </w:rPr>
              <w:t>Institution</w:t>
            </w:r>
          </w:p>
        </w:tc>
        <w:tc>
          <w:tcPr>
            <w:tcW w:w="4589" w:type="dxa"/>
            <w:vAlign w:val="center"/>
          </w:tcPr>
          <w:p w14:paraId="2E55D592">
            <w:pPr>
              <w:spacing w:after="0" w:line="240" w:lineRule="auto"/>
            </w:pPr>
            <w:r>
              <w:rPr>
                <w:rFonts w:ascii="宋体" w:hAnsi="宋体" w:eastAsia="宋体"/>
                <w:sz w:val="18"/>
              </w:rPr>
              <w:t>作者机构规范名称与别名匹配得分</w:t>
            </w:r>
          </w:p>
        </w:tc>
      </w:tr>
      <w:tr w14:paraId="16E8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E4F67B8">
            <w:pPr>
              <w:spacing w:after="0" w:line="240" w:lineRule="auto"/>
            </w:pPr>
            <w:r>
              <w:rPr>
                <w:rFonts w:ascii="宋体" w:hAnsi="宋体" w:eastAsia="宋体"/>
                <w:sz w:val="18"/>
              </w:rPr>
              <w:t>R_citation</w:t>
            </w:r>
          </w:p>
        </w:tc>
        <w:tc>
          <w:tcPr>
            <w:tcW w:w="4589" w:type="dxa"/>
            <w:vAlign w:val="center"/>
          </w:tcPr>
          <w:p w14:paraId="04C19FDD">
            <w:pPr>
              <w:spacing w:after="0" w:line="240" w:lineRule="auto"/>
            </w:pPr>
            <w:r>
              <w:rPr>
                <w:rFonts w:ascii="宋体" w:hAnsi="宋体" w:eastAsia="宋体"/>
                <w:sz w:val="18"/>
              </w:rPr>
              <w:t>采用 log(1+citation_count) 计算，并在同学科、同发表年份范围内进行百分位归一化</w:t>
            </w:r>
          </w:p>
        </w:tc>
      </w:tr>
      <w:tr w14:paraId="44B2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9BCB7CB">
            <w:pPr>
              <w:spacing w:after="0" w:line="240" w:lineRule="auto"/>
            </w:pPr>
            <w:r>
              <w:rPr>
                <w:rFonts w:ascii="宋体" w:hAnsi="宋体" w:eastAsia="宋体"/>
                <w:sz w:val="18"/>
              </w:rPr>
              <w:t>R_recency</w:t>
            </w:r>
          </w:p>
        </w:tc>
        <w:tc>
          <w:tcPr>
            <w:tcW w:w="4589" w:type="dxa"/>
            <w:vAlign w:val="center"/>
          </w:tcPr>
          <w:p w14:paraId="3E466375">
            <w:pPr>
              <w:spacing w:after="0" w:line="240" w:lineRule="auto"/>
            </w:pPr>
            <w:r>
              <w:rPr>
                <w:rFonts w:ascii="宋体" w:hAnsi="宋体" w:eastAsia="宋体"/>
                <w:sz w:val="18"/>
              </w:rPr>
              <w:t>采用 exp(-age_year/8) 计算时间衰减</w:t>
            </w:r>
          </w:p>
        </w:tc>
      </w:tr>
      <w:tr w14:paraId="6A38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C0B4AF8">
            <w:pPr>
              <w:spacing w:after="0" w:line="240" w:lineRule="auto"/>
            </w:pPr>
            <w:r>
              <w:rPr>
                <w:rFonts w:ascii="宋体" w:hAnsi="宋体" w:eastAsia="宋体"/>
                <w:sz w:val="18"/>
              </w:rPr>
              <w:t>R_quality</w:t>
            </w:r>
          </w:p>
        </w:tc>
        <w:tc>
          <w:tcPr>
            <w:tcW w:w="4589" w:type="dxa"/>
            <w:vAlign w:val="center"/>
          </w:tcPr>
          <w:p w14:paraId="13DD9476">
            <w:pPr>
              <w:spacing w:after="0" w:line="240" w:lineRule="auto"/>
            </w:pPr>
            <w:r>
              <w:rPr>
                <w:rFonts w:ascii="宋体" w:hAnsi="宋体" w:eastAsia="宋体"/>
                <w:sz w:val="18"/>
              </w:rPr>
              <w:t>按照 DOI、摘要、作者身份、机构标识等核心字段完整度计算</w:t>
            </w:r>
          </w:p>
        </w:tc>
      </w:tr>
    </w:tbl>
    <w:p w14:paraId="05ED24ED"/>
    <w:p w14:paraId="3CC2E264">
      <w:r>
        <w:t>用户选择“最新发表”排序时，系统按照正式发布日期或可用的最精确发布日期倒序排列，并使用相关度作为同日期记录的第二排序键。用户选择“引用次数”排序时，系统按照指定引用来源的引用次数倒序排列，并在界面中显示引用数据来源和更新时间。</w:t>
      </w:r>
    </w:p>
    <w:p w14:paraId="04C7A302">
      <w:pPr>
        <w:pStyle w:val="4"/>
      </w:pPr>
      <w:r>
        <w:t>8.2 专利检索</w:t>
      </w:r>
    </w:p>
    <w:p w14:paraId="0FA5E7CA">
      <w:pPr>
        <w:jc w:val="center"/>
      </w:pPr>
      <w:r>
        <w:rPr>
          <w:b/>
        </w:rPr>
        <w:t>R_patent_text = 0.40×Title + 0.25×Abstract + 0.15×Applicant + 0.10×Inventor + 0.10×CPC</w:t>
      </w:r>
    </w:p>
    <w:p w14:paraId="2B6C7C04">
      <w:r>
        <w:t>专利检索支持公开号、申请号的精确查询。精确标识符命中的记录排列在全文相关度结果之前。关键词检索采用题名、摘要、申请人、发明人和 CPC 分类加权排序。用户选择“最新公开”时按照公开日期倒序排列。</w:t>
      </w:r>
    </w:p>
    <w:p w14:paraId="4A69E4F9">
      <w:pPr>
        <w:pStyle w:val="4"/>
      </w:pPr>
      <w:r>
        <w:t>8.3 科技奖励检索</w:t>
      </w:r>
    </w:p>
    <w:p w14:paraId="6F70361F">
      <w:pPr>
        <w:jc w:val="center"/>
      </w:pPr>
      <w:r>
        <w:rPr>
          <w:b/>
        </w:rPr>
        <w:t>R_award_text = 0.45×ProjectName + 0.20×Person + 0.15×Organization + 0.10×AwardName + 0.10×Category</w:t>
      </w:r>
    </w:p>
    <w:p w14:paraId="3A8E0EB6">
      <w:r>
        <w:t>奖励检索提供授奖机构、获奖年度、奖励类别和奖励等级筛选。项目名称具有最高文本权重。当用户输入科研人员姓名时，主要完成人字段进入高权重匹配；当用户输入机构名称时，主要完成单位字段进入高权重匹配。</w:t>
      </w:r>
    </w:p>
    <w:p w14:paraId="20FA12C4">
      <w:pPr>
        <w:pStyle w:val="4"/>
      </w:pPr>
      <w:r>
        <w:t>8.4 精确匹配加权规则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7A34B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4CABF3A7">
            <w:pPr>
              <w:spacing w:after="0" w:line="240" w:lineRule="auto"/>
            </w:pPr>
            <w:r>
              <w:rPr>
                <w:rFonts w:ascii="宋体" w:hAnsi="宋体" w:eastAsia="宋体"/>
                <w:b/>
                <w:sz w:val="19"/>
              </w:rPr>
              <w:t>精确匹配</w:t>
            </w:r>
          </w:p>
        </w:tc>
        <w:tc>
          <w:tcPr>
            <w:tcW w:w="4589" w:type="dxa"/>
            <w:shd w:val="clear" w:color="auto" w:fill="D9EAF7"/>
            <w:vAlign w:val="center"/>
          </w:tcPr>
          <w:p w14:paraId="43A3CDE2">
            <w:pPr>
              <w:spacing w:after="0" w:line="240" w:lineRule="auto"/>
            </w:pPr>
            <w:r>
              <w:rPr>
                <w:rFonts w:ascii="宋体" w:hAnsi="宋体" w:eastAsia="宋体"/>
                <w:b/>
                <w:sz w:val="19"/>
              </w:rPr>
              <w:t>加权处理</w:t>
            </w:r>
          </w:p>
        </w:tc>
      </w:tr>
      <w:tr w14:paraId="4E1A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CF2B4F4">
            <w:pPr>
              <w:spacing w:after="0" w:line="240" w:lineRule="auto"/>
            </w:pPr>
            <w:r>
              <w:rPr>
                <w:rFonts w:ascii="宋体" w:hAnsi="宋体" w:eastAsia="宋体"/>
                <w:sz w:val="18"/>
              </w:rPr>
              <w:t>完整 DOI</w:t>
            </w:r>
          </w:p>
        </w:tc>
        <w:tc>
          <w:tcPr>
            <w:tcW w:w="4589" w:type="dxa"/>
            <w:vAlign w:val="center"/>
          </w:tcPr>
          <w:p w14:paraId="37CD65BC">
            <w:pPr>
              <w:spacing w:after="0" w:line="240" w:lineRule="auto"/>
            </w:pPr>
            <w:r>
              <w:rPr>
                <w:rFonts w:ascii="宋体" w:hAnsi="宋体" w:eastAsia="宋体"/>
                <w:sz w:val="18"/>
              </w:rPr>
              <w:t>对应论文固定排列在同一查询结果的首位</w:t>
            </w:r>
          </w:p>
        </w:tc>
      </w:tr>
      <w:tr w14:paraId="61F0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5F45515">
            <w:pPr>
              <w:spacing w:after="0" w:line="240" w:lineRule="auto"/>
            </w:pPr>
            <w:r>
              <w:rPr>
                <w:rFonts w:ascii="宋体" w:hAnsi="宋体" w:eastAsia="宋体"/>
                <w:sz w:val="18"/>
              </w:rPr>
              <w:t>完整专利公开号或申请号</w:t>
            </w:r>
          </w:p>
        </w:tc>
        <w:tc>
          <w:tcPr>
            <w:tcW w:w="4589" w:type="dxa"/>
            <w:vAlign w:val="center"/>
          </w:tcPr>
          <w:p w14:paraId="7141D458">
            <w:pPr>
              <w:spacing w:after="0" w:line="240" w:lineRule="auto"/>
            </w:pPr>
            <w:r>
              <w:rPr>
                <w:rFonts w:ascii="宋体" w:hAnsi="宋体" w:eastAsia="宋体"/>
                <w:sz w:val="18"/>
              </w:rPr>
              <w:t>对应专利固定排列在同一查询结果的首位</w:t>
            </w:r>
          </w:p>
        </w:tc>
      </w:tr>
      <w:tr w14:paraId="3DAA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756D482">
            <w:pPr>
              <w:spacing w:after="0" w:line="240" w:lineRule="auto"/>
            </w:pPr>
            <w:r>
              <w:rPr>
                <w:rFonts w:ascii="宋体" w:hAnsi="宋体" w:eastAsia="宋体"/>
                <w:sz w:val="18"/>
              </w:rPr>
              <w:t>完整 ORCID</w:t>
            </w:r>
          </w:p>
        </w:tc>
        <w:tc>
          <w:tcPr>
            <w:tcW w:w="4589" w:type="dxa"/>
            <w:vAlign w:val="center"/>
          </w:tcPr>
          <w:p w14:paraId="643A33AF">
            <w:pPr>
              <w:spacing w:after="0" w:line="240" w:lineRule="auto"/>
            </w:pPr>
            <w:r>
              <w:rPr>
                <w:rFonts w:ascii="宋体" w:hAnsi="宋体" w:eastAsia="宋体"/>
                <w:sz w:val="18"/>
              </w:rPr>
              <w:t>对应研究人员固定排列在研究人员结果首位</w:t>
            </w:r>
          </w:p>
        </w:tc>
      </w:tr>
      <w:tr w14:paraId="6D3E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FF6274A">
            <w:pPr>
              <w:spacing w:after="0" w:line="240" w:lineRule="auto"/>
            </w:pPr>
            <w:r>
              <w:rPr>
                <w:rFonts w:ascii="宋体" w:hAnsi="宋体" w:eastAsia="宋体"/>
                <w:sz w:val="18"/>
              </w:rPr>
              <w:t>完整 ROR ID</w:t>
            </w:r>
          </w:p>
        </w:tc>
        <w:tc>
          <w:tcPr>
            <w:tcW w:w="4589" w:type="dxa"/>
            <w:vAlign w:val="center"/>
          </w:tcPr>
          <w:p w14:paraId="1304895D">
            <w:pPr>
              <w:spacing w:after="0" w:line="240" w:lineRule="auto"/>
            </w:pPr>
            <w:r>
              <w:rPr>
                <w:rFonts w:ascii="宋体" w:hAnsi="宋体" w:eastAsia="宋体"/>
                <w:sz w:val="18"/>
              </w:rPr>
              <w:t>对应机构固定排列在机构结果首位</w:t>
            </w:r>
          </w:p>
        </w:tc>
      </w:tr>
      <w:tr w14:paraId="00C0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54A9E52D">
            <w:pPr>
              <w:spacing w:after="0" w:line="240" w:lineRule="auto"/>
            </w:pPr>
            <w:r>
              <w:rPr>
                <w:rFonts w:ascii="宋体" w:hAnsi="宋体" w:eastAsia="宋体"/>
                <w:sz w:val="18"/>
              </w:rPr>
              <w:t>完整奖项编号（来源存在编号时）</w:t>
            </w:r>
          </w:p>
        </w:tc>
        <w:tc>
          <w:tcPr>
            <w:tcW w:w="4589" w:type="dxa"/>
            <w:vAlign w:val="center"/>
          </w:tcPr>
          <w:p w14:paraId="7E35B9BA">
            <w:pPr>
              <w:spacing w:after="0" w:line="240" w:lineRule="auto"/>
            </w:pPr>
            <w:r>
              <w:rPr>
                <w:rFonts w:ascii="宋体" w:hAnsi="宋体" w:eastAsia="宋体"/>
                <w:sz w:val="18"/>
              </w:rPr>
              <w:t>对应奖励记录固定排列在奖励结果首位</w:t>
            </w:r>
          </w:p>
        </w:tc>
      </w:tr>
    </w:tbl>
    <w:p w14:paraId="0A547D66"/>
    <w:p w14:paraId="4003F5CB">
      <w:pPr>
        <w:pStyle w:val="3"/>
      </w:pPr>
      <w:r>
        <w:t>9. 增量更新与数据质量控制</w:t>
      </w:r>
    </w:p>
    <w:p w14:paraId="360B0489">
      <w:pPr>
        <w:pStyle w:val="4"/>
      </w:pPr>
      <w:r>
        <w:t>9.1 更新策略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60"/>
        <w:gridCol w:w="3060"/>
      </w:tblGrid>
      <w:tr w14:paraId="4822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060" w:type="dxa"/>
            <w:shd w:val="clear" w:color="auto" w:fill="D9EAF7"/>
            <w:vAlign w:val="center"/>
          </w:tcPr>
          <w:p w14:paraId="3A90779F">
            <w:pPr>
              <w:spacing w:after="0" w:line="240" w:lineRule="auto"/>
            </w:pPr>
            <w:r>
              <w:rPr>
                <w:rFonts w:ascii="宋体" w:hAnsi="宋体" w:eastAsia="宋体"/>
                <w:b/>
                <w:sz w:val="19"/>
              </w:rPr>
              <w:t>数据类型</w:t>
            </w:r>
          </w:p>
        </w:tc>
        <w:tc>
          <w:tcPr>
            <w:tcW w:w="3060" w:type="dxa"/>
            <w:shd w:val="clear" w:color="auto" w:fill="D9EAF7"/>
            <w:vAlign w:val="center"/>
          </w:tcPr>
          <w:p w14:paraId="4C2424AB">
            <w:pPr>
              <w:spacing w:after="0" w:line="240" w:lineRule="auto"/>
            </w:pPr>
            <w:r>
              <w:rPr>
                <w:rFonts w:ascii="宋体" w:hAnsi="宋体" w:eastAsia="宋体"/>
                <w:b/>
                <w:sz w:val="19"/>
              </w:rPr>
              <w:t>建议更新周期</w:t>
            </w:r>
          </w:p>
        </w:tc>
        <w:tc>
          <w:tcPr>
            <w:tcW w:w="3060" w:type="dxa"/>
            <w:shd w:val="clear" w:color="auto" w:fill="D9EAF7"/>
            <w:vAlign w:val="center"/>
          </w:tcPr>
          <w:p w14:paraId="1E5083A0">
            <w:pPr>
              <w:spacing w:after="0" w:line="240" w:lineRule="auto"/>
            </w:pPr>
            <w:r>
              <w:rPr>
                <w:rFonts w:ascii="宋体" w:hAnsi="宋体" w:eastAsia="宋体"/>
                <w:b/>
                <w:sz w:val="19"/>
              </w:rPr>
              <w:t>更新方式</w:t>
            </w:r>
          </w:p>
        </w:tc>
      </w:tr>
      <w:tr w14:paraId="6D68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2C56EBB2">
            <w:pPr>
              <w:spacing w:after="0" w:line="240" w:lineRule="auto"/>
            </w:pPr>
            <w:r>
              <w:rPr>
                <w:rFonts w:ascii="宋体" w:hAnsi="宋体" w:eastAsia="宋体"/>
                <w:sz w:val="18"/>
              </w:rPr>
              <w:t>论文</w:t>
            </w:r>
          </w:p>
        </w:tc>
        <w:tc>
          <w:tcPr>
            <w:tcW w:w="3060" w:type="dxa"/>
            <w:vAlign w:val="center"/>
          </w:tcPr>
          <w:p w14:paraId="16ACB24D">
            <w:pPr>
              <w:spacing w:after="0" w:line="240" w:lineRule="auto"/>
            </w:pPr>
            <w:r>
              <w:rPr>
                <w:rFonts w:ascii="宋体" w:hAnsi="宋体" w:eastAsia="宋体"/>
                <w:sz w:val="18"/>
              </w:rPr>
              <w:t>每日或每周</w:t>
            </w:r>
          </w:p>
        </w:tc>
        <w:tc>
          <w:tcPr>
            <w:tcW w:w="3060" w:type="dxa"/>
            <w:vAlign w:val="center"/>
          </w:tcPr>
          <w:p w14:paraId="03C38DCD">
            <w:pPr>
              <w:spacing w:after="0" w:line="240" w:lineRule="auto"/>
            </w:pPr>
            <w:r>
              <w:rPr>
                <w:rFonts w:ascii="宋体" w:hAnsi="宋体" w:eastAsia="宋体"/>
                <w:sz w:val="18"/>
              </w:rPr>
              <w:t>按照来源更新时间、游标或快照增量信息拉取；新记录进入完整清洗与去重流程</w:t>
            </w:r>
          </w:p>
        </w:tc>
      </w:tr>
      <w:tr w14:paraId="2EEB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572B5AD2">
            <w:pPr>
              <w:spacing w:after="0" w:line="240" w:lineRule="auto"/>
            </w:pPr>
            <w:r>
              <w:rPr>
                <w:rFonts w:ascii="宋体" w:hAnsi="宋体" w:eastAsia="宋体"/>
                <w:sz w:val="18"/>
              </w:rPr>
              <w:t>专利</w:t>
            </w:r>
          </w:p>
        </w:tc>
        <w:tc>
          <w:tcPr>
            <w:tcW w:w="3060" w:type="dxa"/>
            <w:vAlign w:val="center"/>
          </w:tcPr>
          <w:p w14:paraId="3696D18D">
            <w:pPr>
              <w:spacing w:after="0" w:line="240" w:lineRule="auto"/>
            </w:pPr>
            <w:r>
              <w:rPr>
                <w:rFonts w:ascii="宋体" w:hAnsi="宋体" w:eastAsia="宋体"/>
                <w:sz w:val="18"/>
              </w:rPr>
              <w:t>每周</w:t>
            </w:r>
          </w:p>
        </w:tc>
        <w:tc>
          <w:tcPr>
            <w:tcW w:w="3060" w:type="dxa"/>
            <w:vAlign w:val="center"/>
          </w:tcPr>
          <w:p w14:paraId="516831FE">
            <w:pPr>
              <w:spacing w:after="0" w:line="240" w:lineRule="auto"/>
            </w:pPr>
            <w:r>
              <w:rPr>
                <w:rFonts w:ascii="宋体" w:hAnsi="宋体" w:eastAsia="宋体"/>
                <w:sz w:val="18"/>
              </w:rPr>
              <w:t>按照公开日期、法律状态更新时间获取新增和变更记录</w:t>
            </w:r>
          </w:p>
        </w:tc>
      </w:tr>
      <w:tr w14:paraId="05BC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35210F0F">
            <w:pPr>
              <w:spacing w:after="0" w:line="240" w:lineRule="auto"/>
            </w:pPr>
            <w:r>
              <w:rPr>
                <w:rFonts w:ascii="宋体" w:hAnsi="宋体" w:eastAsia="宋体"/>
                <w:sz w:val="18"/>
              </w:rPr>
              <w:t>国家级奖励</w:t>
            </w:r>
          </w:p>
        </w:tc>
        <w:tc>
          <w:tcPr>
            <w:tcW w:w="3060" w:type="dxa"/>
            <w:vAlign w:val="center"/>
          </w:tcPr>
          <w:p w14:paraId="50DEFF13">
            <w:pPr>
              <w:spacing w:after="0" w:line="240" w:lineRule="auto"/>
            </w:pPr>
            <w:r>
              <w:rPr>
                <w:rFonts w:ascii="宋体" w:hAnsi="宋体" w:eastAsia="宋体"/>
                <w:sz w:val="18"/>
              </w:rPr>
              <w:t>每日检查公告更新；稳定期转为每月</w:t>
            </w:r>
          </w:p>
        </w:tc>
        <w:tc>
          <w:tcPr>
            <w:tcW w:w="3060" w:type="dxa"/>
            <w:vAlign w:val="center"/>
          </w:tcPr>
          <w:p w14:paraId="5D05F672">
            <w:pPr>
              <w:spacing w:after="0" w:line="240" w:lineRule="auto"/>
            </w:pPr>
            <w:r>
              <w:rPr>
                <w:rFonts w:ascii="宋体" w:hAnsi="宋体" w:eastAsia="宋体"/>
                <w:sz w:val="18"/>
              </w:rPr>
              <w:t>监测官方目录和年度公告</w:t>
            </w:r>
          </w:p>
        </w:tc>
      </w:tr>
      <w:tr w14:paraId="226A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72CBB712">
            <w:pPr>
              <w:spacing w:after="0" w:line="240" w:lineRule="auto"/>
            </w:pPr>
            <w:r>
              <w:rPr>
                <w:rFonts w:ascii="宋体" w:hAnsi="宋体" w:eastAsia="宋体"/>
                <w:sz w:val="18"/>
              </w:rPr>
              <w:t>学会奖励</w:t>
            </w:r>
          </w:p>
        </w:tc>
        <w:tc>
          <w:tcPr>
            <w:tcW w:w="3060" w:type="dxa"/>
            <w:vAlign w:val="center"/>
          </w:tcPr>
          <w:p w14:paraId="549D1BB6">
            <w:pPr>
              <w:spacing w:after="0" w:line="240" w:lineRule="auto"/>
            </w:pPr>
            <w:r>
              <w:rPr>
                <w:rFonts w:ascii="宋体" w:hAnsi="宋体" w:eastAsia="宋体"/>
                <w:sz w:val="18"/>
              </w:rPr>
              <w:t>每周</w:t>
            </w:r>
          </w:p>
        </w:tc>
        <w:tc>
          <w:tcPr>
            <w:tcW w:w="3060" w:type="dxa"/>
            <w:vAlign w:val="center"/>
          </w:tcPr>
          <w:p w14:paraId="76E2177C">
            <w:pPr>
              <w:spacing w:after="0" w:line="240" w:lineRule="auto"/>
            </w:pPr>
            <w:r>
              <w:rPr>
                <w:rFonts w:ascii="宋体" w:hAnsi="宋体" w:eastAsia="宋体"/>
                <w:sz w:val="18"/>
              </w:rPr>
              <w:t>按授奖学会公告栏目和历年获奖目录更新</w:t>
            </w:r>
          </w:p>
        </w:tc>
      </w:tr>
      <w:tr w14:paraId="0277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702BF1AF">
            <w:pPr>
              <w:spacing w:after="0" w:line="240" w:lineRule="auto"/>
            </w:pPr>
            <w:r>
              <w:rPr>
                <w:rFonts w:ascii="宋体" w:hAnsi="宋体" w:eastAsia="宋体"/>
                <w:sz w:val="18"/>
              </w:rPr>
              <w:t>ORCID/ROR</w:t>
            </w:r>
          </w:p>
        </w:tc>
        <w:tc>
          <w:tcPr>
            <w:tcW w:w="3060" w:type="dxa"/>
            <w:vAlign w:val="center"/>
          </w:tcPr>
          <w:p w14:paraId="3BC0AE5B">
            <w:pPr>
              <w:spacing w:after="0" w:line="240" w:lineRule="auto"/>
            </w:pPr>
            <w:r>
              <w:rPr>
                <w:rFonts w:ascii="宋体" w:hAnsi="宋体" w:eastAsia="宋体"/>
                <w:sz w:val="18"/>
              </w:rPr>
              <w:t>每月或按需</w:t>
            </w:r>
          </w:p>
        </w:tc>
        <w:tc>
          <w:tcPr>
            <w:tcW w:w="3060" w:type="dxa"/>
            <w:vAlign w:val="center"/>
          </w:tcPr>
          <w:p w14:paraId="7DADFA3D">
            <w:pPr>
              <w:spacing w:after="0" w:line="240" w:lineRule="auto"/>
            </w:pPr>
            <w:r>
              <w:rPr>
                <w:rFonts w:ascii="宋体" w:hAnsi="宋体" w:eastAsia="宋体"/>
                <w:sz w:val="18"/>
              </w:rPr>
              <w:t>更新身份和机构规范信息</w:t>
            </w:r>
          </w:p>
        </w:tc>
      </w:tr>
      <w:tr w14:paraId="291E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29A95F5F">
            <w:pPr>
              <w:spacing w:after="0" w:line="240" w:lineRule="auto"/>
            </w:pPr>
            <w:r>
              <w:rPr>
                <w:rFonts w:ascii="宋体" w:hAnsi="宋体" w:eastAsia="宋体"/>
                <w:sz w:val="18"/>
              </w:rPr>
              <w:t>引用次数</w:t>
            </w:r>
          </w:p>
        </w:tc>
        <w:tc>
          <w:tcPr>
            <w:tcW w:w="3060" w:type="dxa"/>
            <w:vAlign w:val="center"/>
          </w:tcPr>
          <w:p w14:paraId="2E07048B">
            <w:pPr>
              <w:spacing w:after="0" w:line="240" w:lineRule="auto"/>
            </w:pPr>
            <w:r>
              <w:rPr>
                <w:rFonts w:ascii="宋体" w:hAnsi="宋体" w:eastAsia="宋体"/>
                <w:sz w:val="18"/>
              </w:rPr>
              <w:t>每月</w:t>
            </w:r>
          </w:p>
        </w:tc>
        <w:tc>
          <w:tcPr>
            <w:tcW w:w="3060" w:type="dxa"/>
            <w:vAlign w:val="center"/>
          </w:tcPr>
          <w:p w14:paraId="13DFA1BD">
            <w:pPr>
              <w:spacing w:after="0" w:line="240" w:lineRule="auto"/>
            </w:pPr>
            <w:r>
              <w:rPr>
                <w:rFonts w:ascii="宋体" w:hAnsi="宋体" w:eastAsia="宋体"/>
                <w:sz w:val="18"/>
              </w:rPr>
              <w:t>按来源重新获取并保存更新时间</w:t>
            </w:r>
          </w:p>
        </w:tc>
      </w:tr>
    </w:tbl>
    <w:p w14:paraId="4437EC9B"/>
    <w:p w14:paraId="66B7144D">
      <w:pPr>
        <w:pStyle w:val="4"/>
      </w:pPr>
      <w:r>
        <w:t>9.2 数据质量指标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60"/>
        <w:gridCol w:w="3060"/>
      </w:tblGrid>
      <w:tr w14:paraId="6BF2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0" w:type="dxa"/>
            <w:shd w:val="clear" w:color="auto" w:fill="D9EAF7"/>
            <w:vAlign w:val="center"/>
          </w:tcPr>
          <w:p w14:paraId="19C11A2B">
            <w:pPr>
              <w:spacing w:after="0" w:line="240" w:lineRule="auto"/>
            </w:pPr>
            <w:r>
              <w:rPr>
                <w:rFonts w:ascii="宋体" w:hAnsi="宋体" w:eastAsia="宋体"/>
                <w:b/>
                <w:sz w:val="19"/>
              </w:rPr>
              <w:t>指标</w:t>
            </w:r>
          </w:p>
        </w:tc>
        <w:tc>
          <w:tcPr>
            <w:tcW w:w="3060" w:type="dxa"/>
            <w:shd w:val="clear" w:color="auto" w:fill="D9EAF7"/>
            <w:vAlign w:val="center"/>
          </w:tcPr>
          <w:p w14:paraId="14C31515">
            <w:pPr>
              <w:spacing w:after="0" w:line="240" w:lineRule="auto"/>
            </w:pPr>
            <w:r>
              <w:rPr>
                <w:rFonts w:ascii="宋体" w:hAnsi="宋体" w:eastAsia="宋体"/>
                <w:b/>
                <w:sz w:val="19"/>
              </w:rPr>
              <w:t>定义</w:t>
            </w:r>
          </w:p>
        </w:tc>
        <w:tc>
          <w:tcPr>
            <w:tcW w:w="3060" w:type="dxa"/>
            <w:shd w:val="clear" w:color="auto" w:fill="D9EAF7"/>
            <w:vAlign w:val="center"/>
          </w:tcPr>
          <w:p w14:paraId="320356E3">
            <w:pPr>
              <w:spacing w:after="0" w:line="240" w:lineRule="auto"/>
            </w:pPr>
            <w:r>
              <w:rPr>
                <w:rFonts w:ascii="宋体" w:hAnsi="宋体" w:eastAsia="宋体"/>
                <w:b/>
                <w:sz w:val="19"/>
              </w:rPr>
              <w:t>一期验收目标</w:t>
            </w:r>
          </w:p>
        </w:tc>
      </w:tr>
      <w:tr w14:paraId="76B7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167B89D0">
            <w:pPr>
              <w:spacing w:after="0" w:line="240" w:lineRule="auto"/>
            </w:pPr>
            <w:r>
              <w:rPr>
                <w:rFonts w:ascii="宋体" w:hAnsi="宋体" w:eastAsia="宋体"/>
                <w:sz w:val="18"/>
              </w:rPr>
              <w:t>唯一标识覆盖率</w:t>
            </w:r>
          </w:p>
        </w:tc>
        <w:tc>
          <w:tcPr>
            <w:tcW w:w="3060" w:type="dxa"/>
            <w:vAlign w:val="center"/>
          </w:tcPr>
          <w:p w14:paraId="68BB5F0A">
            <w:pPr>
              <w:spacing w:after="0" w:line="240" w:lineRule="auto"/>
            </w:pPr>
            <w:r>
              <w:rPr>
                <w:rFonts w:ascii="宋体" w:hAnsi="宋体" w:eastAsia="宋体"/>
                <w:sz w:val="18"/>
              </w:rPr>
              <w:t>具有 DOI、来源稳定标识或专利标准标识的成果占比</w:t>
            </w:r>
          </w:p>
        </w:tc>
        <w:tc>
          <w:tcPr>
            <w:tcW w:w="3060" w:type="dxa"/>
            <w:vAlign w:val="center"/>
          </w:tcPr>
          <w:p w14:paraId="15452B55">
            <w:pPr>
              <w:spacing w:after="0" w:line="240" w:lineRule="auto"/>
            </w:pPr>
            <w:r>
              <w:rPr>
                <w:rFonts w:ascii="宋体" w:hAnsi="宋体" w:eastAsia="宋体"/>
                <w:sz w:val="18"/>
              </w:rPr>
              <w:t>论文主数据集达到 85% 以上</w:t>
            </w:r>
          </w:p>
        </w:tc>
      </w:tr>
      <w:tr w14:paraId="03DF6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53593E43">
            <w:pPr>
              <w:spacing w:after="0" w:line="240" w:lineRule="auto"/>
            </w:pPr>
            <w:r>
              <w:rPr>
                <w:rFonts w:ascii="宋体" w:hAnsi="宋体" w:eastAsia="宋体"/>
                <w:sz w:val="18"/>
              </w:rPr>
              <w:t>核心字段完整率</w:t>
            </w:r>
          </w:p>
        </w:tc>
        <w:tc>
          <w:tcPr>
            <w:tcW w:w="3060" w:type="dxa"/>
            <w:vAlign w:val="center"/>
          </w:tcPr>
          <w:p w14:paraId="24EF6202">
            <w:pPr>
              <w:spacing w:after="0" w:line="240" w:lineRule="auto"/>
            </w:pPr>
            <w:r>
              <w:rPr>
                <w:rFonts w:ascii="宋体" w:hAnsi="宋体" w:eastAsia="宋体"/>
                <w:sz w:val="18"/>
              </w:rPr>
              <w:t>题名、作者、年份、来源等核心字段完整记录占比</w:t>
            </w:r>
          </w:p>
        </w:tc>
        <w:tc>
          <w:tcPr>
            <w:tcW w:w="3060" w:type="dxa"/>
            <w:vAlign w:val="center"/>
          </w:tcPr>
          <w:p w14:paraId="64C9E868">
            <w:pPr>
              <w:spacing w:after="0" w:line="240" w:lineRule="auto"/>
            </w:pPr>
            <w:r>
              <w:rPr>
                <w:rFonts w:ascii="宋体" w:hAnsi="宋体" w:eastAsia="宋体"/>
                <w:sz w:val="18"/>
              </w:rPr>
              <w:t>达到 95% 以上</w:t>
            </w:r>
          </w:p>
        </w:tc>
      </w:tr>
      <w:tr w14:paraId="3DE3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0930CD2A">
            <w:pPr>
              <w:spacing w:after="0" w:line="240" w:lineRule="auto"/>
            </w:pPr>
            <w:r>
              <w:rPr>
                <w:rFonts w:ascii="宋体" w:hAnsi="宋体" w:eastAsia="宋体"/>
                <w:sz w:val="18"/>
              </w:rPr>
              <w:t>自动去重准确率</w:t>
            </w:r>
          </w:p>
        </w:tc>
        <w:tc>
          <w:tcPr>
            <w:tcW w:w="3060" w:type="dxa"/>
            <w:vAlign w:val="center"/>
          </w:tcPr>
          <w:p w14:paraId="0E19FF20">
            <w:pPr>
              <w:spacing w:after="0" w:line="240" w:lineRule="auto"/>
            </w:pPr>
            <w:r>
              <w:rPr>
                <w:rFonts w:ascii="宋体" w:hAnsi="宋体" w:eastAsia="宋体"/>
                <w:sz w:val="18"/>
              </w:rPr>
              <w:t>抽样复核中自动合并判定正确的比例</w:t>
            </w:r>
          </w:p>
        </w:tc>
        <w:tc>
          <w:tcPr>
            <w:tcW w:w="3060" w:type="dxa"/>
            <w:vAlign w:val="center"/>
          </w:tcPr>
          <w:p w14:paraId="38F48136">
            <w:pPr>
              <w:spacing w:after="0" w:line="240" w:lineRule="auto"/>
            </w:pPr>
            <w:r>
              <w:rPr>
                <w:rFonts w:ascii="宋体" w:hAnsi="宋体" w:eastAsia="宋体"/>
                <w:sz w:val="18"/>
              </w:rPr>
              <w:t>达到 98% 以上</w:t>
            </w:r>
          </w:p>
        </w:tc>
      </w:tr>
      <w:tr w14:paraId="508B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2ED24214">
            <w:pPr>
              <w:spacing w:after="0" w:line="240" w:lineRule="auto"/>
            </w:pPr>
            <w:r>
              <w:rPr>
                <w:rFonts w:ascii="宋体" w:hAnsi="宋体" w:eastAsia="宋体"/>
                <w:sz w:val="18"/>
              </w:rPr>
              <w:t>作者自动消歧准确率</w:t>
            </w:r>
          </w:p>
        </w:tc>
        <w:tc>
          <w:tcPr>
            <w:tcW w:w="3060" w:type="dxa"/>
            <w:vAlign w:val="center"/>
          </w:tcPr>
          <w:p w14:paraId="0DAACF55">
            <w:pPr>
              <w:spacing w:after="0" w:line="240" w:lineRule="auto"/>
            </w:pPr>
            <w:r>
              <w:rPr>
                <w:rFonts w:ascii="宋体" w:hAnsi="宋体" w:eastAsia="宋体"/>
                <w:sz w:val="18"/>
              </w:rPr>
              <w:t>抽样复核中自动作者合并正确的比例</w:t>
            </w:r>
          </w:p>
        </w:tc>
        <w:tc>
          <w:tcPr>
            <w:tcW w:w="3060" w:type="dxa"/>
            <w:vAlign w:val="center"/>
          </w:tcPr>
          <w:p w14:paraId="76053F7A">
            <w:pPr>
              <w:spacing w:after="0" w:line="240" w:lineRule="auto"/>
            </w:pPr>
            <w:r>
              <w:rPr>
                <w:rFonts w:ascii="宋体" w:hAnsi="宋体" w:eastAsia="宋体"/>
                <w:sz w:val="18"/>
              </w:rPr>
              <w:t>达到 97% 以上</w:t>
            </w:r>
          </w:p>
        </w:tc>
      </w:tr>
      <w:tr w14:paraId="360B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70E4D3C1">
            <w:pPr>
              <w:spacing w:after="0" w:line="240" w:lineRule="auto"/>
            </w:pPr>
            <w:r>
              <w:rPr>
                <w:rFonts w:ascii="宋体" w:hAnsi="宋体" w:eastAsia="宋体"/>
                <w:sz w:val="18"/>
              </w:rPr>
              <w:t>来源可追踪率</w:t>
            </w:r>
          </w:p>
        </w:tc>
        <w:tc>
          <w:tcPr>
            <w:tcW w:w="3060" w:type="dxa"/>
            <w:vAlign w:val="center"/>
          </w:tcPr>
          <w:p w14:paraId="798E0B83">
            <w:pPr>
              <w:spacing w:after="0" w:line="240" w:lineRule="auto"/>
            </w:pPr>
            <w:r>
              <w:rPr>
                <w:rFonts w:ascii="宋体" w:hAnsi="宋体" w:eastAsia="宋体"/>
                <w:sz w:val="18"/>
              </w:rPr>
              <w:t>能够定位至少一个原始来源记录的规范记录占比</w:t>
            </w:r>
          </w:p>
        </w:tc>
        <w:tc>
          <w:tcPr>
            <w:tcW w:w="3060" w:type="dxa"/>
            <w:vAlign w:val="center"/>
          </w:tcPr>
          <w:p w14:paraId="3068168F">
            <w:pPr>
              <w:spacing w:after="0" w:line="240" w:lineRule="auto"/>
            </w:pPr>
            <w:r>
              <w:rPr>
                <w:rFonts w:ascii="宋体" w:hAnsi="宋体" w:eastAsia="宋体"/>
                <w:sz w:val="18"/>
              </w:rPr>
              <w:t>达到 100%</w:t>
            </w:r>
          </w:p>
        </w:tc>
      </w:tr>
      <w:tr w14:paraId="7604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vAlign w:val="center"/>
          </w:tcPr>
          <w:p w14:paraId="639B98A2">
            <w:pPr>
              <w:spacing w:after="0" w:line="240" w:lineRule="auto"/>
            </w:pPr>
            <w:r>
              <w:rPr>
                <w:rFonts w:ascii="宋体" w:hAnsi="宋体" w:eastAsia="宋体"/>
                <w:sz w:val="18"/>
              </w:rPr>
              <w:t>异常处理率</w:t>
            </w:r>
          </w:p>
        </w:tc>
        <w:tc>
          <w:tcPr>
            <w:tcW w:w="3060" w:type="dxa"/>
            <w:vAlign w:val="center"/>
          </w:tcPr>
          <w:p w14:paraId="098B4F0C">
            <w:pPr>
              <w:spacing w:after="0" w:line="240" w:lineRule="auto"/>
            </w:pPr>
            <w:r>
              <w:rPr>
                <w:rFonts w:ascii="宋体" w:hAnsi="宋体" w:eastAsia="宋体"/>
                <w:sz w:val="18"/>
              </w:rPr>
              <w:t>进入异常队列以后已经获得明确处理状态的记录占比</w:t>
            </w:r>
          </w:p>
        </w:tc>
        <w:tc>
          <w:tcPr>
            <w:tcW w:w="3060" w:type="dxa"/>
            <w:vAlign w:val="center"/>
          </w:tcPr>
          <w:p w14:paraId="31A23043">
            <w:pPr>
              <w:spacing w:after="0" w:line="240" w:lineRule="auto"/>
            </w:pPr>
            <w:r>
              <w:rPr>
                <w:rFonts w:ascii="宋体" w:hAnsi="宋体" w:eastAsia="宋体"/>
                <w:sz w:val="18"/>
              </w:rPr>
              <w:t>达到 95% 以上</w:t>
            </w:r>
          </w:p>
        </w:tc>
      </w:tr>
    </w:tbl>
    <w:p w14:paraId="21897272"/>
    <w:p w14:paraId="50C568C0">
      <w:pPr>
        <w:pStyle w:val="3"/>
      </w:pPr>
      <w:r>
        <w:t>10. 核心模块 SPEC 摘要</w:t>
      </w:r>
    </w:p>
    <w:p w14:paraId="757F8959">
      <w:pPr>
        <w:pStyle w:val="164"/>
      </w:pPr>
      <w:r>
        <w:t>SPEC-DATA-01 数据清洗规范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08ED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3B3C2FD3">
            <w:pPr>
              <w:spacing w:after="0" w:line="240" w:lineRule="auto"/>
            </w:pPr>
            <w:r>
              <w:rPr>
                <w:rFonts w:ascii="宋体" w:hAnsi="宋体" w:eastAsia="宋体"/>
                <w:b/>
                <w:sz w:val="19"/>
              </w:rPr>
              <w:t>项目</w:t>
            </w:r>
          </w:p>
        </w:tc>
        <w:tc>
          <w:tcPr>
            <w:tcW w:w="4589" w:type="dxa"/>
            <w:shd w:val="clear" w:color="auto" w:fill="D9EAF7"/>
            <w:vAlign w:val="center"/>
          </w:tcPr>
          <w:p w14:paraId="51821907">
            <w:pPr>
              <w:spacing w:after="0" w:line="240" w:lineRule="auto"/>
            </w:pPr>
            <w:r>
              <w:rPr>
                <w:rFonts w:ascii="宋体" w:hAnsi="宋体" w:eastAsia="宋体"/>
                <w:b/>
                <w:sz w:val="19"/>
              </w:rPr>
              <w:t>内容</w:t>
            </w:r>
          </w:p>
        </w:tc>
      </w:tr>
      <w:tr w14:paraId="1FC2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D6D3030">
            <w:pPr>
              <w:spacing w:after="0" w:line="240" w:lineRule="auto"/>
            </w:pPr>
            <w:r>
              <w:rPr>
                <w:rFonts w:ascii="宋体" w:hAnsi="宋体" w:eastAsia="宋体"/>
                <w:sz w:val="18"/>
              </w:rPr>
              <w:t>功能</w:t>
            </w:r>
          </w:p>
        </w:tc>
        <w:tc>
          <w:tcPr>
            <w:tcW w:w="4589" w:type="dxa"/>
            <w:vAlign w:val="center"/>
          </w:tcPr>
          <w:p w14:paraId="2DABCDC8">
            <w:pPr>
              <w:spacing w:after="0" w:line="240" w:lineRule="auto"/>
            </w:pPr>
            <w:r>
              <w:rPr>
                <w:rFonts w:ascii="宋体" w:hAnsi="宋体" w:eastAsia="宋体"/>
                <w:sz w:val="18"/>
              </w:rPr>
              <w:t>将多来源论文、专利和科技奖励记录转换为统一数据结构，并完成文本、标识符、人员、机构、日期、分类和数值字段的规范化。</w:t>
            </w:r>
          </w:p>
        </w:tc>
      </w:tr>
      <w:tr w14:paraId="1C3C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8BAF88D">
            <w:pPr>
              <w:spacing w:after="0" w:line="240" w:lineRule="auto"/>
            </w:pPr>
            <w:r>
              <w:rPr>
                <w:rFonts w:ascii="宋体" w:hAnsi="宋体" w:eastAsia="宋体"/>
                <w:sz w:val="18"/>
              </w:rPr>
              <w:t>输入</w:t>
            </w:r>
          </w:p>
        </w:tc>
        <w:tc>
          <w:tcPr>
            <w:tcW w:w="4589" w:type="dxa"/>
            <w:vAlign w:val="center"/>
          </w:tcPr>
          <w:p w14:paraId="3974745A">
            <w:pPr>
              <w:spacing w:after="0" w:line="240" w:lineRule="auto"/>
            </w:pPr>
            <w:r>
              <w:rPr>
                <w:rFonts w:ascii="宋体" w:hAnsi="宋体" w:eastAsia="宋体"/>
                <w:sz w:val="18"/>
              </w:rPr>
              <w:t>原始记录、来源字段映射规则、受控词表。</w:t>
            </w:r>
          </w:p>
        </w:tc>
      </w:tr>
      <w:tr w14:paraId="508E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9219543">
            <w:pPr>
              <w:spacing w:after="0" w:line="240" w:lineRule="auto"/>
            </w:pPr>
            <w:r>
              <w:rPr>
                <w:rFonts w:ascii="宋体" w:hAnsi="宋体" w:eastAsia="宋体"/>
                <w:sz w:val="18"/>
              </w:rPr>
              <w:t>输出</w:t>
            </w:r>
          </w:p>
        </w:tc>
        <w:tc>
          <w:tcPr>
            <w:tcW w:w="4589" w:type="dxa"/>
            <w:vAlign w:val="center"/>
          </w:tcPr>
          <w:p w14:paraId="630F9EA4">
            <w:pPr>
              <w:spacing w:after="0" w:line="240" w:lineRule="auto"/>
            </w:pPr>
            <w:r>
              <w:rPr>
                <w:rFonts w:ascii="宋体" w:hAnsi="宋体" w:eastAsia="宋体"/>
                <w:sz w:val="18"/>
              </w:rPr>
              <w:t>规范化记录、字段质量标记、异常记录。</w:t>
            </w:r>
          </w:p>
        </w:tc>
      </w:tr>
      <w:tr w14:paraId="3379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366AFD9">
            <w:pPr>
              <w:spacing w:after="0" w:line="240" w:lineRule="auto"/>
            </w:pPr>
            <w:r>
              <w:rPr>
                <w:rFonts w:ascii="宋体" w:hAnsi="宋体" w:eastAsia="宋体"/>
                <w:sz w:val="18"/>
              </w:rPr>
              <w:t>约束</w:t>
            </w:r>
          </w:p>
        </w:tc>
        <w:tc>
          <w:tcPr>
            <w:tcW w:w="4589" w:type="dxa"/>
            <w:vAlign w:val="center"/>
          </w:tcPr>
          <w:p w14:paraId="7B42477F">
            <w:pPr>
              <w:spacing w:after="0" w:line="240" w:lineRule="auto"/>
            </w:pPr>
            <w:r>
              <w:rPr>
                <w:rFonts w:ascii="宋体" w:hAnsi="宋体" w:eastAsia="宋体"/>
                <w:sz w:val="18"/>
              </w:rPr>
              <w:t>原始值必须保留；规范化规则必须具有版本号；关键标识符必须执行格式和校验位验证。</w:t>
            </w:r>
          </w:p>
        </w:tc>
      </w:tr>
      <w:tr w14:paraId="54B3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F8E3C8D">
            <w:pPr>
              <w:spacing w:after="0" w:line="240" w:lineRule="auto"/>
            </w:pPr>
            <w:r>
              <w:rPr>
                <w:rFonts w:ascii="宋体" w:hAnsi="宋体" w:eastAsia="宋体"/>
                <w:sz w:val="18"/>
              </w:rPr>
              <w:t>验收标准</w:t>
            </w:r>
          </w:p>
        </w:tc>
        <w:tc>
          <w:tcPr>
            <w:tcW w:w="4589" w:type="dxa"/>
            <w:vAlign w:val="center"/>
          </w:tcPr>
          <w:p w14:paraId="3F81B3BD">
            <w:pPr>
              <w:spacing w:after="0" w:line="240" w:lineRule="auto"/>
            </w:pPr>
            <w:r>
              <w:rPr>
                <w:rFonts w:ascii="宋体" w:hAnsi="宋体" w:eastAsia="宋体"/>
                <w:sz w:val="18"/>
              </w:rPr>
              <w:t>抽取 500 条跨来源样本进行复核，字段规范化正确率达到 99%。</w:t>
            </w:r>
          </w:p>
        </w:tc>
      </w:tr>
    </w:tbl>
    <w:p w14:paraId="63E844FF"/>
    <w:p w14:paraId="3F482C4A">
      <w:pPr>
        <w:pStyle w:val="164"/>
      </w:pPr>
      <w:r>
        <w:t>SPEC-DATA-02 成果去重规范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0D9A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7DAE1095">
            <w:pPr>
              <w:spacing w:after="0" w:line="240" w:lineRule="auto"/>
            </w:pPr>
            <w:r>
              <w:rPr>
                <w:rFonts w:ascii="宋体" w:hAnsi="宋体" w:eastAsia="宋体"/>
                <w:b/>
                <w:sz w:val="19"/>
              </w:rPr>
              <w:t>项目</w:t>
            </w:r>
          </w:p>
        </w:tc>
        <w:tc>
          <w:tcPr>
            <w:tcW w:w="4589" w:type="dxa"/>
            <w:shd w:val="clear" w:color="auto" w:fill="D9EAF7"/>
            <w:vAlign w:val="center"/>
          </w:tcPr>
          <w:p w14:paraId="7CEF177A">
            <w:pPr>
              <w:spacing w:after="0" w:line="240" w:lineRule="auto"/>
            </w:pPr>
            <w:r>
              <w:rPr>
                <w:rFonts w:ascii="宋体" w:hAnsi="宋体" w:eastAsia="宋体"/>
                <w:b/>
                <w:sz w:val="19"/>
              </w:rPr>
              <w:t>内容</w:t>
            </w:r>
          </w:p>
        </w:tc>
      </w:tr>
      <w:tr w14:paraId="76B0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569F37DB">
            <w:pPr>
              <w:spacing w:after="0" w:line="240" w:lineRule="auto"/>
            </w:pPr>
            <w:r>
              <w:rPr>
                <w:rFonts w:ascii="宋体" w:hAnsi="宋体" w:eastAsia="宋体"/>
                <w:sz w:val="18"/>
              </w:rPr>
              <w:t>功能</w:t>
            </w:r>
          </w:p>
        </w:tc>
        <w:tc>
          <w:tcPr>
            <w:tcW w:w="4589" w:type="dxa"/>
            <w:vAlign w:val="center"/>
          </w:tcPr>
          <w:p w14:paraId="12A085BA">
            <w:pPr>
              <w:spacing w:after="0" w:line="240" w:lineRule="auto"/>
            </w:pPr>
            <w:r>
              <w:rPr>
                <w:rFonts w:ascii="宋体" w:hAnsi="宋体" w:eastAsia="宋体"/>
                <w:sz w:val="18"/>
              </w:rPr>
              <w:t>识别跨平台重复论文、重复专利来源记录和重复科技奖励记录，并生成统一成果实体。</w:t>
            </w:r>
          </w:p>
        </w:tc>
      </w:tr>
      <w:tr w14:paraId="0BD1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36B22BE">
            <w:pPr>
              <w:spacing w:after="0" w:line="240" w:lineRule="auto"/>
            </w:pPr>
            <w:r>
              <w:rPr>
                <w:rFonts w:ascii="宋体" w:hAnsi="宋体" w:eastAsia="宋体"/>
                <w:sz w:val="18"/>
              </w:rPr>
              <w:t>输入</w:t>
            </w:r>
          </w:p>
        </w:tc>
        <w:tc>
          <w:tcPr>
            <w:tcW w:w="4589" w:type="dxa"/>
            <w:vAlign w:val="center"/>
          </w:tcPr>
          <w:p w14:paraId="019D0501">
            <w:pPr>
              <w:spacing w:after="0" w:line="240" w:lineRule="auto"/>
            </w:pPr>
            <w:r>
              <w:rPr>
                <w:rFonts w:ascii="宋体" w:hAnsi="宋体" w:eastAsia="宋体"/>
                <w:sz w:val="18"/>
              </w:rPr>
              <w:t>规范化记录、候选索引。</w:t>
            </w:r>
          </w:p>
        </w:tc>
      </w:tr>
      <w:tr w14:paraId="11FE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855FB4E">
            <w:pPr>
              <w:spacing w:after="0" w:line="240" w:lineRule="auto"/>
            </w:pPr>
            <w:r>
              <w:rPr>
                <w:rFonts w:ascii="宋体" w:hAnsi="宋体" w:eastAsia="宋体"/>
                <w:sz w:val="18"/>
              </w:rPr>
              <w:t>输出</w:t>
            </w:r>
          </w:p>
        </w:tc>
        <w:tc>
          <w:tcPr>
            <w:tcW w:w="4589" w:type="dxa"/>
            <w:vAlign w:val="center"/>
          </w:tcPr>
          <w:p w14:paraId="0BD73189">
            <w:pPr>
              <w:spacing w:after="0" w:line="240" w:lineRule="auto"/>
            </w:pPr>
            <w:r>
              <w:rPr>
                <w:rFonts w:ascii="宋体" w:hAnsi="宋体" w:eastAsia="宋体"/>
                <w:sz w:val="18"/>
              </w:rPr>
              <w:t>合并决策、主实体、来源映射、人工复核任务。</w:t>
            </w:r>
          </w:p>
        </w:tc>
      </w:tr>
      <w:tr w14:paraId="4932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7F850E21">
            <w:pPr>
              <w:spacing w:after="0" w:line="240" w:lineRule="auto"/>
            </w:pPr>
            <w:r>
              <w:rPr>
                <w:rFonts w:ascii="宋体" w:hAnsi="宋体" w:eastAsia="宋体"/>
                <w:sz w:val="18"/>
              </w:rPr>
              <w:t>约束</w:t>
            </w:r>
          </w:p>
        </w:tc>
        <w:tc>
          <w:tcPr>
            <w:tcW w:w="4589" w:type="dxa"/>
            <w:vAlign w:val="center"/>
          </w:tcPr>
          <w:p w14:paraId="4E0B5DD0">
            <w:pPr>
              <w:spacing w:after="0" w:line="240" w:lineRule="auto"/>
            </w:pPr>
            <w:r>
              <w:rPr>
                <w:rFonts w:ascii="宋体" w:hAnsi="宋体" w:eastAsia="宋体"/>
                <w:sz w:val="18"/>
              </w:rPr>
              <w:t>DOI 和标准专利标识优先；相似度阈值按照本文件第五章固定执行；每次合并均保存证据。</w:t>
            </w:r>
          </w:p>
        </w:tc>
      </w:tr>
      <w:tr w14:paraId="22FA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06A75FE">
            <w:pPr>
              <w:spacing w:after="0" w:line="240" w:lineRule="auto"/>
            </w:pPr>
            <w:r>
              <w:rPr>
                <w:rFonts w:ascii="宋体" w:hAnsi="宋体" w:eastAsia="宋体"/>
                <w:sz w:val="18"/>
              </w:rPr>
              <w:t>验收标准</w:t>
            </w:r>
          </w:p>
        </w:tc>
        <w:tc>
          <w:tcPr>
            <w:tcW w:w="4589" w:type="dxa"/>
            <w:vAlign w:val="center"/>
          </w:tcPr>
          <w:p w14:paraId="6626408F">
            <w:pPr>
              <w:spacing w:after="0" w:line="240" w:lineRule="auto"/>
            </w:pPr>
            <w:r>
              <w:rPr>
                <w:rFonts w:ascii="宋体" w:hAnsi="宋体" w:eastAsia="宋体"/>
                <w:sz w:val="18"/>
              </w:rPr>
              <w:t>抽取自动合并结果进行人工复核，准确率达到 98%；所有中间阈值记录进入复核队列。</w:t>
            </w:r>
          </w:p>
        </w:tc>
      </w:tr>
    </w:tbl>
    <w:p w14:paraId="65DAF12D"/>
    <w:p w14:paraId="01219B11">
      <w:pPr>
        <w:pStyle w:val="164"/>
      </w:pPr>
      <w:r>
        <w:t>SPEC-DATA-03 作者与机构消歧规范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2116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33831CE2">
            <w:pPr>
              <w:spacing w:after="0" w:line="240" w:lineRule="auto"/>
            </w:pPr>
            <w:r>
              <w:rPr>
                <w:rFonts w:ascii="宋体" w:hAnsi="宋体" w:eastAsia="宋体"/>
                <w:b/>
                <w:sz w:val="19"/>
              </w:rPr>
              <w:t>项目</w:t>
            </w:r>
          </w:p>
        </w:tc>
        <w:tc>
          <w:tcPr>
            <w:tcW w:w="4589" w:type="dxa"/>
            <w:shd w:val="clear" w:color="auto" w:fill="D9EAF7"/>
            <w:vAlign w:val="center"/>
          </w:tcPr>
          <w:p w14:paraId="47DF09A1">
            <w:pPr>
              <w:spacing w:after="0" w:line="240" w:lineRule="auto"/>
            </w:pPr>
            <w:r>
              <w:rPr>
                <w:rFonts w:ascii="宋体" w:hAnsi="宋体" w:eastAsia="宋体"/>
                <w:b/>
                <w:sz w:val="19"/>
              </w:rPr>
              <w:t>内容</w:t>
            </w:r>
          </w:p>
        </w:tc>
      </w:tr>
      <w:tr w14:paraId="48E3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316D65F">
            <w:pPr>
              <w:spacing w:after="0" w:line="240" w:lineRule="auto"/>
            </w:pPr>
            <w:r>
              <w:rPr>
                <w:rFonts w:ascii="宋体" w:hAnsi="宋体" w:eastAsia="宋体"/>
                <w:sz w:val="18"/>
              </w:rPr>
              <w:t>功能</w:t>
            </w:r>
          </w:p>
        </w:tc>
        <w:tc>
          <w:tcPr>
            <w:tcW w:w="4589" w:type="dxa"/>
            <w:vAlign w:val="center"/>
          </w:tcPr>
          <w:p w14:paraId="28F72468">
            <w:pPr>
              <w:spacing w:after="0" w:line="240" w:lineRule="auto"/>
            </w:pPr>
            <w:r>
              <w:rPr>
                <w:rFonts w:ascii="宋体" w:hAnsi="宋体" w:eastAsia="宋体"/>
                <w:sz w:val="18"/>
              </w:rPr>
              <w:t>将不同来源中的作者和机构记录关联到统一研究人员与科研机构实体。</w:t>
            </w:r>
          </w:p>
        </w:tc>
      </w:tr>
      <w:tr w14:paraId="0BE5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7778461">
            <w:pPr>
              <w:spacing w:after="0" w:line="240" w:lineRule="auto"/>
            </w:pPr>
            <w:r>
              <w:rPr>
                <w:rFonts w:ascii="宋体" w:hAnsi="宋体" w:eastAsia="宋体"/>
                <w:sz w:val="18"/>
              </w:rPr>
              <w:t>输入</w:t>
            </w:r>
          </w:p>
        </w:tc>
        <w:tc>
          <w:tcPr>
            <w:tcW w:w="4589" w:type="dxa"/>
            <w:vAlign w:val="center"/>
          </w:tcPr>
          <w:p w14:paraId="0677F02D">
            <w:pPr>
              <w:spacing w:after="0" w:line="240" w:lineRule="auto"/>
            </w:pPr>
            <w:r>
              <w:rPr>
                <w:rFonts w:ascii="宋体" w:hAnsi="宋体" w:eastAsia="宋体"/>
                <w:sz w:val="18"/>
              </w:rPr>
              <w:t>作者姓名、ORCID、机构、共同作者、成果主题、ROR 等字段。</w:t>
            </w:r>
          </w:p>
        </w:tc>
      </w:tr>
      <w:tr w14:paraId="2065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00EBFAD">
            <w:pPr>
              <w:spacing w:after="0" w:line="240" w:lineRule="auto"/>
            </w:pPr>
            <w:r>
              <w:rPr>
                <w:rFonts w:ascii="宋体" w:hAnsi="宋体" w:eastAsia="宋体"/>
                <w:sz w:val="18"/>
              </w:rPr>
              <w:t>输出</w:t>
            </w:r>
          </w:p>
        </w:tc>
        <w:tc>
          <w:tcPr>
            <w:tcW w:w="4589" w:type="dxa"/>
            <w:vAlign w:val="center"/>
          </w:tcPr>
          <w:p w14:paraId="0E803DA3">
            <w:pPr>
              <w:spacing w:after="0" w:line="240" w:lineRule="auto"/>
            </w:pPr>
            <w:r>
              <w:rPr>
                <w:rFonts w:ascii="宋体" w:hAnsi="宋体" w:eastAsia="宋体"/>
                <w:sz w:val="18"/>
              </w:rPr>
              <w:t>统一作者实体、统一机构实体、别名关系、来源映射。</w:t>
            </w:r>
          </w:p>
        </w:tc>
      </w:tr>
      <w:tr w14:paraId="5CA9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30379A1">
            <w:pPr>
              <w:spacing w:after="0" w:line="240" w:lineRule="auto"/>
            </w:pPr>
            <w:r>
              <w:rPr>
                <w:rFonts w:ascii="宋体" w:hAnsi="宋体" w:eastAsia="宋体"/>
                <w:sz w:val="18"/>
              </w:rPr>
              <w:t>约束</w:t>
            </w:r>
          </w:p>
        </w:tc>
        <w:tc>
          <w:tcPr>
            <w:tcW w:w="4589" w:type="dxa"/>
            <w:vAlign w:val="center"/>
          </w:tcPr>
          <w:p w14:paraId="6A2F8871">
            <w:pPr>
              <w:spacing w:after="0" w:line="240" w:lineRule="auto"/>
            </w:pPr>
            <w:r>
              <w:rPr>
                <w:rFonts w:ascii="宋体" w:hAnsi="宋体" w:eastAsia="宋体"/>
                <w:sz w:val="18"/>
              </w:rPr>
              <w:t>经过验证的 ORCID 和 ROR 优先；姓名相同仅用于候选召回；自动合并必须达到规定阈值。</w:t>
            </w:r>
          </w:p>
        </w:tc>
      </w:tr>
      <w:tr w14:paraId="32D6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546E1AFF">
            <w:pPr>
              <w:spacing w:after="0" w:line="240" w:lineRule="auto"/>
            </w:pPr>
            <w:r>
              <w:rPr>
                <w:rFonts w:ascii="宋体" w:hAnsi="宋体" w:eastAsia="宋体"/>
                <w:sz w:val="18"/>
              </w:rPr>
              <w:t>验收标准</w:t>
            </w:r>
          </w:p>
        </w:tc>
        <w:tc>
          <w:tcPr>
            <w:tcW w:w="4589" w:type="dxa"/>
            <w:vAlign w:val="center"/>
          </w:tcPr>
          <w:p w14:paraId="7E0EAF24">
            <w:pPr>
              <w:spacing w:after="0" w:line="240" w:lineRule="auto"/>
            </w:pPr>
            <w:r>
              <w:rPr>
                <w:rFonts w:ascii="宋体" w:hAnsi="宋体" w:eastAsia="宋体"/>
                <w:sz w:val="18"/>
              </w:rPr>
              <w:t>作者自动合并抽样准确率达到 97%；机构 ROR 精确映射结果达到 99%。</w:t>
            </w:r>
          </w:p>
        </w:tc>
      </w:tr>
    </w:tbl>
    <w:p w14:paraId="145A27D7"/>
    <w:p w14:paraId="437DFC91">
      <w:pPr>
        <w:pStyle w:val="164"/>
      </w:pPr>
      <w:r>
        <w:t>SPEC-SEARCH-01 检索排序规范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4D9C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78879E7D">
            <w:pPr>
              <w:spacing w:after="0" w:line="240" w:lineRule="auto"/>
            </w:pPr>
            <w:r>
              <w:rPr>
                <w:rFonts w:ascii="宋体" w:hAnsi="宋体" w:eastAsia="宋体"/>
                <w:b/>
                <w:sz w:val="19"/>
              </w:rPr>
              <w:t>项目</w:t>
            </w:r>
          </w:p>
        </w:tc>
        <w:tc>
          <w:tcPr>
            <w:tcW w:w="4589" w:type="dxa"/>
            <w:shd w:val="clear" w:color="auto" w:fill="D9EAF7"/>
            <w:vAlign w:val="center"/>
          </w:tcPr>
          <w:p w14:paraId="58234531">
            <w:pPr>
              <w:spacing w:after="0" w:line="240" w:lineRule="auto"/>
            </w:pPr>
            <w:r>
              <w:rPr>
                <w:rFonts w:ascii="宋体" w:hAnsi="宋体" w:eastAsia="宋体"/>
                <w:b/>
                <w:sz w:val="19"/>
              </w:rPr>
              <w:t>内容</w:t>
            </w:r>
          </w:p>
        </w:tc>
      </w:tr>
      <w:tr w14:paraId="7B05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435DE2D">
            <w:pPr>
              <w:spacing w:after="0" w:line="240" w:lineRule="auto"/>
            </w:pPr>
            <w:r>
              <w:rPr>
                <w:rFonts w:ascii="宋体" w:hAnsi="宋体" w:eastAsia="宋体"/>
                <w:sz w:val="18"/>
              </w:rPr>
              <w:t>功能</w:t>
            </w:r>
          </w:p>
        </w:tc>
        <w:tc>
          <w:tcPr>
            <w:tcW w:w="4589" w:type="dxa"/>
            <w:vAlign w:val="center"/>
          </w:tcPr>
          <w:p w14:paraId="6E2927E5">
            <w:pPr>
              <w:spacing w:after="0" w:line="240" w:lineRule="auto"/>
            </w:pPr>
            <w:r>
              <w:rPr>
                <w:rFonts w:ascii="宋体" w:hAnsi="宋体" w:eastAsia="宋体"/>
                <w:sz w:val="18"/>
              </w:rPr>
              <w:t>支持论文、专利和科技奖励的关键词检索、精确标识检索、筛选、分页和排序。</w:t>
            </w:r>
          </w:p>
        </w:tc>
      </w:tr>
      <w:tr w14:paraId="4C61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C002456">
            <w:pPr>
              <w:spacing w:after="0" w:line="240" w:lineRule="auto"/>
            </w:pPr>
            <w:r>
              <w:rPr>
                <w:rFonts w:ascii="宋体" w:hAnsi="宋体" w:eastAsia="宋体"/>
                <w:sz w:val="18"/>
              </w:rPr>
              <w:t>输入</w:t>
            </w:r>
          </w:p>
        </w:tc>
        <w:tc>
          <w:tcPr>
            <w:tcW w:w="4589" w:type="dxa"/>
            <w:vAlign w:val="center"/>
          </w:tcPr>
          <w:p w14:paraId="27482637">
            <w:pPr>
              <w:spacing w:after="0" w:line="240" w:lineRule="auto"/>
            </w:pPr>
            <w:r>
              <w:rPr>
                <w:rFonts w:ascii="宋体" w:hAnsi="宋体" w:eastAsia="宋体"/>
                <w:sz w:val="18"/>
              </w:rPr>
              <w:t>用户查询、结构化筛选条件、搜索索引。</w:t>
            </w:r>
          </w:p>
        </w:tc>
      </w:tr>
      <w:tr w14:paraId="1ABE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73FF50F">
            <w:pPr>
              <w:spacing w:after="0" w:line="240" w:lineRule="auto"/>
            </w:pPr>
            <w:r>
              <w:rPr>
                <w:rFonts w:ascii="宋体" w:hAnsi="宋体" w:eastAsia="宋体"/>
                <w:sz w:val="18"/>
              </w:rPr>
              <w:t>输出</w:t>
            </w:r>
          </w:p>
        </w:tc>
        <w:tc>
          <w:tcPr>
            <w:tcW w:w="4589" w:type="dxa"/>
            <w:vAlign w:val="center"/>
          </w:tcPr>
          <w:p w14:paraId="003B3818">
            <w:pPr>
              <w:spacing w:after="0" w:line="240" w:lineRule="auto"/>
            </w:pPr>
            <w:r>
              <w:rPr>
                <w:rFonts w:ascii="宋体" w:hAnsi="宋体" w:eastAsia="宋体"/>
                <w:sz w:val="18"/>
              </w:rPr>
              <w:t>排序后的结果、总记录数、聚合筛选项。</w:t>
            </w:r>
          </w:p>
        </w:tc>
      </w:tr>
      <w:tr w14:paraId="1F35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F96E3B3">
            <w:pPr>
              <w:spacing w:after="0" w:line="240" w:lineRule="auto"/>
            </w:pPr>
            <w:r>
              <w:rPr>
                <w:rFonts w:ascii="宋体" w:hAnsi="宋体" w:eastAsia="宋体"/>
                <w:sz w:val="18"/>
              </w:rPr>
              <w:t>约束</w:t>
            </w:r>
          </w:p>
        </w:tc>
        <w:tc>
          <w:tcPr>
            <w:tcW w:w="4589" w:type="dxa"/>
            <w:vAlign w:val="center"/>
          </w:tcPr>
          <w:p w14:paraId="726EED49">
            <w:pPr>
              <w:spacing w:after="0" w:line="240" w:lineRule="auto"/>
            </w:pPr>
            <w:r>
              <w:rPr>
                <w:rFonts w:ascii="宋体" w:hAnsi="宋体" w:eastAsia="宋体"/>
                <w:sz w:val="18"/>
              </w:rPr>
              <w:t>各成果类型按照本文件第八章的固定字段权重计算；精确标识命中具有最高优先级；引用次数必须携带来源。</w:t>
            </w:r>
          </w:p>
        </w:tc>
      </w:tr>
      <w:tr w14:paraId="4C69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BDEF60D">
            <w:pPr>
              <w:spacing w:after="0" w:line="240" w:lineRule="auto"/>
            </w:pPr>
            <w:r>
              <w:rPr>
                <w:rFonts w:ascii="宋体" w:hAnsi="宋体" w:eastAsia="宋体"/>
                <w:sz w:val="18"/>
              </w:rPr>
              <w:t>验收标准</w:t>
            </w:r>
          </w:p>
        </w:tc>
        <w:tc>
          <w:tcPr>
            <w:tcW w:w="4589" w:type="dxa"/>
            <w:vAlign w:val="center"/>
          </w:tcPr>
          <w:p w14:paraId="54E8D6C9">
            <w:pPr>
              <w:spacing w:after="0" w:line="240" w:lineRule="auto"/>
            </w:pPr>
            <w:r>
              <w:rPr>
                <w:rFonts w:ascii="宋体" w:hAnsi="宋体" w:eastAsia="宋体"/>
                <w:sz w:val="18"/>
              </w:rPr>
              <w:t>建立至少 50 组代表性查询，人工检查前 10 条结果；精确标识查询正确率达到 100%。</w:t>
            </w:r>
          </w:p>
        </w:tc>
      </w:tr>
    </w:tbl>
    <w:p w14:paraId="6BC80C89"/>
    <w:p w14:paraId="281A0D1B">
      <w:pPr>
        <w:pStyle w:val="3"/>
      </w:pPr>
      <w:r>
        <w:t>11. 一期实施范围与推荐顺序</w:t>
      </w:r>
    </w:p>
    <w:p w14:paraId="49B8D7DB">
      <w:pPr>
        <w:pStyle w:val="14"/>
        <w:spacing w:after="60"/>
      </w:pPr>
      <w:r>
        <w:t>第一步完成 OpenAlex 论文采集，建立论文、作者、机构、期刊或会议和学术领域的基础数据结构，并且完成一万条以上论文数据入库。</w:t>
      </w:r>
    </w:p>
    <w:p w14:paraId="516F7433">
      <w:pPr>
        <w:pStyle w:val="14"/>
        <w:spacing w:after="60"/>
      </w:pPr>
      <w:r>
        <w:t>第二步接入 Crossref，通过 DOI 校验和补充出版元数据，并且完成跨来源论文去重。</w:t>
      </w:r>
    </w:p>
    <w:p w14:paraId="3AB0C35B">
      <w:pPr>
        <w:pStyle w:val="14"/>
        <w:spacing w:after="60"/>
      </w:pPr>
      <w:r>
        <w:t>第三步接入 DBLP，对计算机领域论文、会议和作者记录进行补充，并且验证作者消歧方案。</w:t>
      </w:r>
    </w:p>
    <w:p w14:paraId="6FDE5EC7">
      <w:pPr>
        <w:pStyle w:val="14"/>
        <w:spacing w:after="60"/>
      </w:pPr>
      <w:r>
        <w:t>第四步接入 ORCID 和 ROR，将研究人员身份标识和机构规范标识加入学者门户与实体消歧流程。</w:t>
      </w:r>
    </w:p>
    <w:p w14:paraId="24E64973">
      <w:pPr>
        <w:pStyle w:val="14"/>
        <w:spacing w:after="60"/>
      </w:pPr>
      <w:r>
        <w:t>第五步接入国家知识产权局公开专利数据，并且建立专利公开记录、申请实体和专利家族关系。</w:t>
      </w:r>
    </w:p>
    <w:p w14:paraId="1EE38691">
      <w:pPr>
        <w:pStyle w:val="14"/>
        <w:spacing w:after="60"/>
      </w:pPr>
      <w:r>
        <w:t>第六步接入国家科学技术奖励工作办公室、CCF 和中国电子学会公开奖励数据，并且建立来源适配器和奖励复合去重规则。</w:t>
      </w:r>
    </w:p>
    <w:p w14:paraId="672948F2">
      <w:pPr>
        <w:pStyle w:val="14"/>
        <w:spacing w:after="60"/>
      </w:pPr>
      <w:r>
        <w:t>第七步建立统一检索索引，完成论文、专利、奖励三个成果类型的搜索、筛选、排序和详情展示。</w:t>
      </w:r>
    </w:p>
    <w:p w14:paraId="48EA23F1">
      <w:pPr>
        <w:pStyle w:val="14"/>
        <w:spacing w:after="60"/>
      </w:pPr>
      <w:r>
        <w:t>第八步建立数据质量仪表板，展示采集任务状态、字段完整率、重复候选数量、人工复核任务数量和异常记录数量。</w:t>
      </w:r>
    </w:p>
    <w:p w14:paraId="0685BE68">
      <w:pPr>
        <w:pStyle w:val="4"/>
      </w:pPr>
      <w:r>
        <w:t>11.1 一期核心数据表建议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589"/>
      </w:tblGrid>
      <w:tr w14:paraId="65D1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9" w:type="dxa"/>
            <w:shd w:val="clear" w:color="auto" w:fill="D9EAF7"/>
            <w:vAlign w:val="center"/>
          </w:tcPr>
          <w:p w14:paraId="7314AF97">
            <w:pPr>
              <w:spacing w:after="0" w:line="240" w:lineRule="auto"/>
            </w:pPr>
            <w:r>
              <w:rPr>
                <w:rFonts w:ascii="宋体" w:hAnsi="宋体" w:eastAsia="宋体"/>
                <w:b/>
                <w:sz w:val="19"/>
              </w:rPr>
              <w:t>数据表</w:t>
            </w:r>
          </w:p>
        </w:tc>
        <w:tc>
          <w:tcPr>
            <w:tcW w:w="4589" w:type="dxa"/>
            <w:shd w:val="clear" w:color="auto" w:fill="D9EAF7"/>
            <w:vAlign w:val="center"/>
          </w:tcPr>
          <w:p w14:paraId="6273721E">
            <w:pPr>
              <w:spacing w:after="0" w:line="240" w:lineRule="auto"/>
            </w:pPr>
            <w:r>
              <w:rPr>
                <w:rFonts w:ascii="宋体" w:hAnsi="宋体" w:eastAsia="宋体"/>
                <w:b/>
                <w:sz w:val="19"/>
              </w:rPr>
              <w:t>主要用途</w:t>
            </w:r>
          </w:p>
        </w:tc>
      </w:tr>
      <w:tr w14:paraId="7208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7A0D9DB1">
            <w:pPr>
              <w:spacing w:after="0" w:line="240" w:lineRule="auto"/>
            </w:pPr>
            <w:r>
              <w:rPr>
                <w:rFonts w:ascii="宋体" w:hAnsi="宋体" w:eastAsia="宋体"/>
                <w:sz w:val="18"/>
              </w:rPr>
              <w:t>work</w:t>
            </w:r>
          </w:p>
        </w:tc>
        <w:tc>
          <w:tcPr>
            <w:tcW w:w="4589" w:type="dxa"/>
            <w:vAlign w:val="center"/>
          </w:tcPr>
          <w:p w14:paraId="21DD3456">
            <w:pPr>
              <w:spacing w:after="0" w:line="240" w:lineRule="auto"/>
            </w:pPr>
            <w:r>
              <w:rPr>
                <w:rFonts w:ascii="宋体" w:hAnsi="宋体" w:eastAsia="宋体"/>
                <w:sz w:val="18"/>
              </w:rPr>
              <w:t>统一成果主表，记录成果类型、规范题名、年份等公共字段</w:t>
            </w:r>
          </w:p>
        </w:tc>
      </w:tr>
      <w:tr w14:paraId="71F5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75CA03ED">
            <w:pPr>
              <w:spacing w:after="0" w:line="240" w:lineRule="auto"/>
            </w:pPr>
            <w:r>
              <w:rPr>
                <w:rFonts w:ascii="宋体" w:hAnsi="宋体" w:eastAsia="宋体"/>
                <w:sz w:val="18"/>
              </w:rPr>
              <w:t>paper</w:t>
            </w:r>
          </w:p>
        </w:tc>
        <w:tc>
          <w:tcPr>
            <w:tcW w:w="4589" w:type="dxa"/>
            <w:vAlign w:val="center"/>
          </w:tcPr>
          <w:p w14:paraId="3341FE57">
            <w:pPr>
              <w:spacing w:after="0" w:line="240" w:lineRule="auto"/>
            </w:pPr>
            <w:r>
              <w:rPr>
                <w:rFonts w:ascii="宋体" w:hAnsi="宋体" w:eastAsia="宋体"/>
                <w:sz w:val="18"/>
              </w:rPr>
              <w:t>论文扩展字段</w:t>
            </w:r>
          </w:p>
        </w:tc>
      </w:tr>
      <w:tr w14:paraId="75C5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1A267C4">
            <w:pPr>
              <w:spacing w:after="0" w:line="240" w:lineRule="auto"/>
            </w:pPr>
            <w:r>
              <w:rPr>
                <w:rFonts w:ascii="宋体" w:hAnsi="宋体" w:eastAsia="宋体"/>
                <w:sz w:val="18"/>
              </w:rPr>
              <w:t>patent_publication</w:t>
            </w:r>
          </w:p>
        </w:tc>
        <w:tc>
          <w:tcPr>
            <w:tcW w:w="4589" w:type="dxa"/>
            <w:vAlign w:val="center"/>
          </w:tcPr>
          <w:p w14:paraId="6D9ED122">
            <w:pPr>
              <w:spacing w:after="0" w:line="240" w:lineRule="auto"/>
            </w:pPr>
            <w:r>
              <w:rPr>
                <w:rFonts w:ascii="宋体" w:hAnsi="宋体" w:eastAsia="宋体"/>
                <w:sz w:val="18"/>
              </w:rPr>
              <w:t>专利公开文献字段</w:t>
            </w:r>
          </w:p>
        </w:tc>
      </w:tr>
      <w:tr w14:paraId="1A49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F3EB4B3">
            <w:pPr>
              <w:spacing w:after="0" w:line="240" w:lineRule="auto"/>
            </w:pPr>
            <w:r>
              <w:rPr>
                <w:rFonts w:ascii="宋体" w:hAnsi="宋体" w:eastAsia="宋体"/>
                <w:sz w:val="18"/>
              </w:rPr>
              <w:t>patent_application</w:t>
            </w:r>
          </w:p>
        </w:tc>
        <w:tc>
          <w:tcPr>
            <w:tcW w:w="4589" w:type="dxa"/>
            <w:vAlign w:val="center"/>
          </w:tcPr>
          <w:p w14:paraId="6C0F3400">
            <w:pPr>
              <w:spacing w:after="0" w:line="240" w:lineRule="auto"/>
            </w:pPr>
            <w:r>
              <w:rPr>
                <w:rFonts w:ascii="宋体" w:hAnsi="宋体" w:eastAsia="宋体"/>
                <w:sz w:val="18"/>
              </w:rPr>
              <w:t>专利申请实体</w:t>
            </w:r>
          </w:p>
        </w:tc>
      </w:tr>
      <w:tr w14:paraId="1C36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42951B8">
            <w:pPr>
              <w:spacing w:after="0" w:line="240" w:lineRule="auto"/>
            </w:pPr>
            <w:r>
              <w:rPr>
                <w:rFonts w:ascii="宋体" w:hAnsi="宋体" w:eastAsia="宋体"/>
                <w:sz w:val="18"/>
              </w:rPr>
              <w:t>patent_family</w:t>
            </w:r>
          </w:p>
        </w:tc>
        <w:tc>
          <w:tcPr>
            <w:tcW w:w="4589" w:type="dxa"/>
            <w:vAlign w:val="center"/>
          </w:tcPr>
          <w:p w14:paraId="40DC6DFE">
            <w:pPr>
              <w:spacing w:after="0" w:line="240" w:lineRule="auto"/>
            </w:pPr>
            <w:r>
              <w:rPr>
                <w:rFonts w:ascii="宋体" w:hAnsi="宋体" w:eastAsia="宋体"/>
                <w:sz w:val="18"/>
              </w:rPr>
              <w:t>专利家族</w:t>
            </w:r>
          </w:p>
        </w:tc>
      </w:tr>
      <w:tr w14:paraId="409F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D468301">
            <w:pPr>
              <w:spacing w:after="0" w:line="240" w:lineRule="auto"/>
            </w:pPr>
            <w:r>
              <w:rPr>
                <w:rFonts w:ascii="宋体" w:hAnsi="宋体" w:eastAsia="宋体"/>
                <w:sz w:val="18"/>
              </w:rPr>
              <w:t>award</w:t>
            </w:r>
          </w:p>
        </w:tc>
        <w:tc>
          <w:tcPr>
            <w:tcW w:w="4589" w:type="dxa"/>
            <w:vAlign w:val="center"/>
          </w:tcPr>
          <w:p w14:paraId="25B902A6">
            <w:pPr>
              <w:spacing w:after="0" w:line="240" w:lineRule="auto"/>
            </w:pPr>
            <w:r>
              <w:rPr>
                <w:rFonts w:ascii="宋体" w:hAnsi="宋体" w:eastAsia="宋体"/>
                <w:sz w:val="18"/>
              </w:rPr>
              <w:t>科技奖励记录</w:t>
            </w:r>
          </w:p>
        </w:tc>
      </w:tr>
      <w:tr w14:paraId="3690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C3BD8F5">
            <w:pPr>
              <w:spacing w:after="0" w:line="240" w:lineRule="auto"/>
            </w:pPr>
            <w:r>
              <w:rPr>
                <w:rFonts w:ascii="宋体" w:hAnsi="宋体" w:eastAsia="宋体"/>
                <w:sz w:val="18"/>
              </w:rPr>
              <w:t>person</w:t>
            </w:r>
          </w:p>
        </w:tc>
        <w:tc>
          <w:tcPr>
            <w:tcW w:w="4589" w:type="dxa"/>
            <w:vAlign w:val="center"/>
          </w:tcPr>
          <w:p w14:paraId="537E923A">
            <w:pPr>
              <w:spacing w:after="0" w:line="240" w:lineRule="auto"/>
            </w:pPr>
            <w:r>
              <w:rPr>
                <w:rFonts w:ascii="宋体" w:hAnsi="宋体" w:eastAsia="宋体"/>
                <w:sz w:val="18"/>
              </w:rPr>
              <w:t>科研人员主表</w:t>
            </w:r>
          </w:p>
        </w:tc>
      </w:tr>
      <w:tr w14:paraId="7A0A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62C454ED">
            <w:pPr>
              <w:spacing w:after="0" w:line="240" w:lineRule="auto"/>
            </w:pPr>
            <w:r>
              <w:rPr>
                <w:rFonts w:ascii="宋体" w:hAnsi="宋体" w:eastAsia="宋体"/>
                <w:sz w:val="18"/>
              </w:rPr>
              <w:t>organization</w:t>
            </w:r>
          </w:p>
        </w:tc>
        <w:tc>
          <w:tcPr>
            <w:tcW w:w="4589" w:type="dxa"/>
            <w:vAlign w:val="center"/>
          </w:tcPr>
          <w:p w14:paraId="455C85A5">
            <w:pPr>
              <w:spacing w:after="0" w:line="240" w:lineRule="auto"/>
            </w:pPr>
            <w:r>
              <w:rPr>
                <w:rFonts w:ascii="宋体" w:hAnsi="宋体" w:eastAsia="宋体"/>
                <w:sz w:val="18"/>
              </w:rPr>
              <w:t>科研机构主表</w:t>
            </w:r>
          </w:p>
        </w:tc>
      </w:tr>
      <w:tr w14:paraId="0590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7696640F">
            <w:pPr>
              <w:spacing w:after="0" w:line="240" w:lineRule="auto"/>
            </w:pPr>
            <w:r>
              <w:rPr>
                <w:rFonts w:ascii="宋体" w:hAnsi="宋体" w:eastAsia="宋体"/>
                <w:sz w:val="18"/>
              </w:rPr>
              <w:t>work_person</w:t>
            </w:r>
          </w:p>
        </w:tc>
        <w:tc>
          <w:tcPr>
            <w:tcW w:w="4589" w:type="dxa"/>
            <w:vAlign w:val="center"/>
          </w:tcPr>
          <w:p w14:paraId="43DE588E">
            <w:pPr>
              <w:spacing w:after="0" w:line="240" w:lineRule="auto"/>
            </w:pPr>
            <w:r>
              <w:rPr>
                <w:rFonts w:ascii="宋体" w:hAnsi="宋体" w:eastAsia="宋体"/>
                <w:sz w:val="18"/>
              </w:rPr>
              <w:t>成果与人员关系，并保存作者/完成人顺序和角色</w:t>
            </w:r>
          </w:p>
        </w:tc>
      </w:tr>
      <w:tr w14:paraId="3855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02ED5C4E">
            <w:pPr>
              <w:spacing w:after="0" w:line="240" w:lineRule="auto"/>
            </w:pPr>
            <w:r>
              <w:rPr>
                <w:rFonts w:ascii="宋体" w:hAnsi="宋体" w:eastAsia="宋体"/>
                <w:sz w:val="18"/>
              </w:rPr>
              <w:t>work_organization</w:t>
            </w:r>
          </w:p>
        </w:tc>
        <w:tc>
          <w:tcPr>
            <w:tcW w:w="4589" w:type="dxa"/>
            <w:vAlign w:val="center"/>
          </w:tcPr>
          <w:p w14:paraId="71403F61">
            <w:pPr>
              <w:spacing w:after="0" w:line="240" w:lineRule="auto"/>
            </w:pPr>
            <w:r>
              <w:rPr>
                <w:rFonts w:ascii="宋体" w:hAnsi="宋体" w:eastAsia="宋体"/>
                <w:sz w:val="18"/>
              </w:rPr>
              <w:t>成果与机构关系</w:t>
            </w:r>
          </w:p>
        </w:tc>
      </w:tr>
      <w:tr w14:paraId="1466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E873A88">
            <w:pPr>
              <w:spacing w:after="0" w:line="240" w:lineRule="auto"/>
            </w:pPr>
            <w:r>
              <w:rPr>
                <w:rFonts w:ascii="宋体" w:hAnsi="宋体" w:eastAsia="宋体"/>
                <w:sz w:val="18"/>
              </w:rPr>
              <w:t>source_record</w:t>
            </w:r>
          </w:p>
        </w:tc>
        <w:tc>
          <w:tcPr>
            <w:tcW w:w="4589" w:type="dxa"/>
            <w:vAlign w:val="center"/>
          </w:tcPr>
          <w:p w14:paraId="4AF7A46D">
            <w:pPr>
              <w:spacing w:after="0" w:line="240" w:lineRule="auto"/>
            </w:pPr>
            <w:r>
              <w:rPr>
                <w:rFonts w:ascii="宋体" w:hAnsi="宋体" w:eastAsia="宋体"/>
                <w:sz w:val="18"/>
              </w:rPr>
              <w:t>原始来源记录与解析结果</w:t>
            </w:r>
          </w:p>
        </w:tc>
      </w:tr>
      <w:tr w14:paraId="0035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447A5DB5">
            <w:pPr>
              <w:spacing w:after="0" w:line="240" w:lineRule="auto"/>
            </w:pPr>
            <w:r>
              <w:rPr>
                <w:rFonts w:ascii="宋体" w:hAnsi="宋体" w:eastAsia="宋体"/>
                <w:sz w:val="18"/>
              </w:rPr>
              <w:t>entity_source_map</w:t>
            </w:r>
          </w:p>
        </w:tc>
        <w:tc>
          <w:tcPr>
            <w:tcW w:w="4589" w:type="dxa"/>
            <w:vAlign w:val="center"/>
          </w:tcPr>
          <w:p w14:paraId="4430F141">
            <w:pPr>
              <w:spacing w:after="0" w:line="240" w:lineRule="auto"/>
            </w:pPr>
            <w:r>
              <w:rPr>
                <w:rFonts w:ascii="宋体" w:hAnsi="宋体" w:eastAsia="宋体"/>
                <w:sz w:val="18"/>
              </w:rPr>
              <w:t>统一实体与来源记录的映射</w:t>
            </w:r>
          </w:p>
        </w:tc>
      </w:tr>
      <w:tr w14:paraId="2DB7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AE337CF">
            <w:pPr>
              <w:spacing w:after="0" w:line="240" w:lineRule="auto"/>
            </w:pPr>
            <w:r>
              <w:rPr>
                <w:rFonts w:ascii="宋体" w:hAnsi="宋体" w:eastAsia="宋体"/>
                <w:sz w:val="18"/>
              </w:rPr>
              <w:t>field_provenance</w:t>
            </w:r>
          </w:p>
        </w:tc>
        <w:tc>
          <w:tcPr>
            <w:tcW w:w="4589" w:type="dxa"/>
            <w:vAlign w:val="center"/>
          </w:tcPr>
          <w:p w14:paraId="7EF710FA">
            <w:pPr>
              <w:spacing w:after="0" w:line="240" w:lineRule="auto"/>
            </w:pPr>
            <w:r>
              <w:rPr>
                <w:rFonts w:ascii="宋体" w:hAnsi="宋体" w:eastAsia="宋体"/>
                <w:sz w:val="18"/>
              </w:rPr>
              <w:t>字段级来源追踪</w:t>
            </w:r>
          </w:p>
        </w:tc>
      </w:tr>
      <w:tr w14:paraId="0D91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883D615">
            <w:pPr>
              <w:spacing w:after="0" w:line="240" w:lineRule="auto"/>
            </w:pPr>
            <w:r>
              <w:rPr>
                <w:rFonts w:ascii="宋体" w:hAnsi="宋体" w:eastAsia="宋体"/>
                <w:sz w:val="18"/>
              </w:rPr>
              <w:t>merge_review_task</w:t>
            </w:r>
          </w:p>
        </w:tc>
        <w:tc>
          <w:tcPr>
            <w:tcW w:w="4589" w:type="dxa"/>
            <w:vAlign w:val="center"/>
          </w:tcPr>
          <w:p w14:paraId="591E02D5">
            <w:pPr>
              <w:spacing w:after="0" w:line="240" w:lineRule="auto"/>
            </w:pPr>
            <w:r>
              <w:rPr>
                <w:rFonts w:ascii="宋体" w:hAnsi="宋体" w:eastAsia="宋体"/>
                <w:sz w:val="18"/>
              </w:rPr>
              <w:t>重复与消歧人工复核任务</w:t>
            </w:r>
          </w:p>
        </w:tc>
      </w:tr>
      <w:tr w14:paraId="1E60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7F2115BE">
            <w:pPr>
              <w:spacing w:after="0" w:line="240" w:lineRule="auto"/>
            </w:pPr>
            <w:r>
              <w:rPr>
                <w:rFonts w:ascii="宋体" w:hAnsi="宋体" w:eastAsia="宋体"/>
                <w:sz w:val="18"/>
              </w:rPr>
              <w:t>data_quality_issue</w:t>
            </w:r>
          </w:p>
        </w:tc>
        <w:tc>
          <w:tcPr>
            <w:tcW w:w="4589" w:type="dxa"/>
            <w:vAlign w:val="center"/>
          </w:tcPr>
          <w:p w14:paraId="39B49909">
            <w:pPr>
              <w:spacing w:after="0" w:line="240" w:lineRule="auto"/>
            </w:pPr>
            <w:r>
              <w:rPr>
                <w:rFonts w:ascii="宋体" w:hAnsi="宋体" w:eastAsia="宋体"/>
                <w:sz w:val="18"/>
              </w:rPr>
              <w:t>数据质量异常记录</w:t>
            </w:r>
          </w:p>
        </w:tc>
      </w:tr>
    </w:tbl>
    <w:p w14:paraId="4D463D9D"/>
    <w:p w14:paraId="4C3AA661">
      <w:pPr>
        <w:pStyle w:val="3"/>
      </w:pPr>
      <w:r>
        <w:t>12. 数据合规与工程风险控制</w:t>
      </w:r>
    </w:p>
    <w:p w14:paraId="3CEACC51">
      <w:pPr>
        <w:pStyle w:val="14"/>
        <w:spacing w:after="60"/>
      </w:pPr>
      <w:r>
        <w:t>数据采集程序优先调用公开 API 和官方数据下载服务。页面采集程序遵循目标网站的使用条款、访问频率和机器人访问规则。</w:t>
      </w:r>
    </w:p>
    <w:p w14:paraId="66282C8A">
      <w:pPr>
        <w:pStyle w:val="14"/>
        <w:spacing w:after="60"/>
      </w:pPr>
      <w:r>
        <w:t>收费数据库、需要机构授权的数据库和受版权保护的全文内容仅在获得明确授权以后接入。</w:t>
      </w:r>
    </w:p>
    <w:p w14:paraId="56DCBB45">
      <w:pPr>
        <w:pStyle w:val="14"/>
        <w:spacing w:after="60"/>
      </w:pPr>
      <w:r>
        <w:t>论文摘要、专利全文和附件等可能涉及版权许可差异的内容需要在来源表中保存许可字段，前端展示功能按照许可状态控制。</w:t>
      </w:r>
    </w:p>
    <w:p w14:paraId="6BF2FCE9">
      <w:pPr>
        <w:pStyle w:val="14"/>
        <w:spacing w:after="60"/>
      </w:pPr>
      <w:r>
        <w:t>用户门户认领期间提交的身份材料按照最小化原则处理，审核完成以后仅保存业务需要的验证结果和审计记录。</w:t>
      </w:r>
    </w:p>
    <w:p w14:paraId="3F6B59D3">
      <w:pPr>
        <w:pStyle w:val="14"/>
        <w:spacing w:after="60"/>
      </w:pPr>
      <w:r>
        <w:t>每一次自动合并和人工修正均记录操作者、时间、规则版本、合并前实体和合并后实体，从而支持追踪和回退。</w:t>
      </w:r>
    </w:p>
    <w:p w14:paraId="5CD6CF9F">
      <w:pPr>
        <w:pStyle w:val="3"/>
      </w:pPr>
      <w:r>
        <w:t>13. 调研结论</w:t>
      </w:r>
    </w:p>
    <w:p w14:paraId="0F85FC35">
      <w:r>
        <w:t>学术成果分享平台的一期数据建设可以形成“OpenAlex 主论文库 + Crossref DOI 校验 + DBLP 计算机领域补充 + ORCID/ROR 身份规范 + OpenCitations 引用补充 + 国家知识产权局中国专利 + EPO 国际专利补充 + 官方奖励机构目录”的数据来源体系。</w:t>
      </w:r>
    </w:p>
    <w:p w14:paraId="0AE56A26">
      <w:r>
        <w:t>统一数据治理流程需要以标准标识优先、来源追踪、字段级冲突管理、分级自动合并和人工复核为核心。论文去重优先使用 DOI，专利记录优先使用公开号和申请号，科技奖励使用授奖机构、年度、类别、等级、项目名称、完成单位和完成人构成的复合信息。作者消歧优先使用经过验证的 ORCID，机构消歧优先使用 ROR。</w:t>
      </w:r>
    </w:p>
    <w:p w14:paraId="4EC8BA61">
      <w:r>
        <w:t>检索模块需要对论文、专利和科技奖励分别建立字段权重。论文默认相关度同时考虑文本相关性、同领域同年份引用影响、时间因素和数据完整度；专利检索重点考虑题名、摘要、申请人、发明人和 CPC；奖励检索重点考虑项目名称、主要完成人、完成单位和奖项分类。</w:t>
      </w:r>
    </w:p>
    <w:p w14:paraId="4D61C7B9">
      <w:pPr>
        <w:pStyle w:val="3"/>
      </w:pPr>
      <w:r>
        <w:t>参考资料</w:t>
      </w:r>
    </w:p>
    <w:p w14:paraId="0B4E89CB">
      <w:pPr>
        <w:spacing w:before="0" w:after="20" w:line="240" w:lineRule="auto"/>
        <w:ind w:left="340" w:hanging="340"/>
      </w:pPr>
      <w:r>
        <w:rPr>
          <w:sz w:val="18"/>
        </w:rPr>
        <w:t>[1] OpenAlex Help Center. https://help.openalex.org/ （访问日期：2026-09-26）</w:t>
      </w:r>
    </w:p>
    <w:p w14:paraId="150F3013">
      <w:pPr>
        <w:spacing w:before="0" w:after="20" w:line="240" w:lineRule="auto"/>
        <w:ind w:left="340" w:hanging="340"/>
      </w:pPr>
      <w:r>
        <w:rPr>
          <w:sz w:val="18"/>
        </w:rPr>
        <w:t>[2] OpenAlex technical documentation: relational database loading guidance. https://docs.openalex.org/ （访问日期：2026-09-26）</w:t>
      </w:r>
    </w:p>
    <w:p w14:paraId="169668A5">
      <w:pPr>
        <w:spacing w:before="0" w:after="20" w:line="240" w:lineRule="auto"/>
        <w:ind w:left="340" w:hanging="340"/>
      </w:pPr>
      <w:r>
        <w:rPr>
          <w:sz w:val="18"/>
        </w:rPr>
        <w:t>[3] DBLP FAQ: How to use the dblp search API? https://dblp.org/faq/How+to+use+the+dblp+search+API.html （访问日期：2026-09-26）</w:t>
      </w:r>
    </w:p>
    <w:p w14:paraId="068C1271">
      <w:pPr>
        <w:spacing w:before="0" w:after="20" w:line="240" w:lineRule="auto"/>
        <w:ind w:left="340" w:hanging="340"/>
      </w:pPr>
      <w:r>
        <w:rPr>
          <w:sz w:val="18"/>
        </w:rPr>
        <w:t>[4] DBLP FAQ: How can I download the whole dblp dataset? https://dblp.org/faq/How+can+I+download+the+whole+dblp+dataset （访问日期：2026-09-26）</w:t>
      </w:r>
    </w:p>
    <w:p w14:paraId="3040387D">
      <w:pPr>
        <w:spacing w:before="0" w:after="20" w:line="240" w:lineRule="auto"/>
        <w:ind w:left="340" w:hanging="340"/>
      </w:pPr>
      <w:r>
        <w:rPr>
          <w:sz w:val="18"/>
        </w:rPr>
        <w:t>[5] DBLP FAQ: Under what license is the data from dblp released? https://dblp.org/faq/1474677.html （访问日期：2026-09-26）</w:t>
      </w:r>
    </w:p>
    <w:p w14:paraId="5D32E00B">
      <w:pPr>
        <w:spacing w:before="0" w:after="20" w:line="240" w:lineRule="auto"/>
        <w:ind w:left="340" w:hanging="340"/>
      </w:pPr>
      <w:r>
        <w:rPr>
          <w:sz w:val="18"/>
        </w:rPr>
        <w:t>[6] Crossref REST API Documentation. https://www.crossref.org/documentation/retrieve-metadata/rest-api/ （访问日期：2026-09-26）</w:t>
      </w:r>
    </w:p>
    <w:p w14:paraId="5299D137">
      <w:pPr>
        <w:spacing w:before="0" w:after="20" w:line="240" w:lineRule="auto"/>
        <w:ind w:left="340" w:hanging="340"/>
      </w:pPr>
      <w:r>
        <w:rPr>
          <w:sz w:val="18"/>
        </w:rPr>
        <w:t>[7] OpenCitations Index REST API. https://api.opencitations.net/index/v2 （访问日期：2026-09-26）</w:t>
      </w:r>
    </w:p>
    <w:p w14:paraId="338A5623">
      <w:pPr>
        <w:spacing w:before="0" w:after="20" w:line="240" w:lineRule="auto"/>
        <w:ind w:left="340" w:hanging="340"/>
      </w:pPr>
      <w:r>
        <w:rPr>
          <w:sz w:val="18"/>
        </w:rPr>
        <w:t>[8] ORCID Public API. https://info.orcid.org/what-is-orcid/services/public-api/ （访问日期：2026-09-26）</w:t>
      </w:r>
    </w:p>
    <w:p w14:paraId="6046AB23">
      <w:pPr>
        <w:spacing w:before="0" w:after="20" w:line="240" w:lineRule="auto"/>
        <w:ind w:left="340" w:hanging="340"/>
      </w:pPr>
      <w:r>
        <w:rPr>
          <w:sz w:val="18"/>
        </w:rPr>
        <w:t>[9] Research Organization Registry (ROR) FAQ. https://ror.org/about/faqs/ （访问日期：2026-09-26）</w:t>
      </w:r>
    </w:p>
    <w:p w14:paraId="1128D417">
      <w:pPr>
        <w:spacing w:before="0" w:after="20" w:line="240" w:lineRule="auto"/>
        <w:ind w:left="340" w:hanging="340"/>
      </w:pPr>
      <w:r>
        <w:rPr>
          <w:sz w:val="18"/>
        </w:rPr>
        <w:t>[10] 国家知识产权局：专利检索及分析系统介绍。https://www.cnipa.gov.cn/ （访问日期：2026-09-26）</w:t>
      </w:r>
    </w:p>
    <w:p w14:paraId="0B1501E0">
      <w:pPr>
        <w:spacing w:before="0" w:after="20" w:line="240" w:lineRule="auto"/>
        <w:ind w:left="340" w:hanging="340"/>
      </w:pPr>
      <w:r>
        <w:rPr>
          <w:sz w:val="18"/>
        </w:rPr>
        <w:t>[11] European Patent Office: Open Patent Services. https://www.epo.org/en/searching-for-patents/data/web-services/ops （访问日期：2026-09-26）</w:t>
      </w:r>
    </w:p>
    <w:p w14:paraId="5458CDF9">
      <w:pPr>
        <w:spacing w:before="0" w:after="20" w:line="240" w:lineRule="auto"/>
        <w:ind w:left="340" w:hanging="340"/>
      </w:pPr>
      <w:r>
        <w:rPr>
          <w:sz w:val="18"/>
        </w:rPr>
        <w:t>[12] European Patent Office: DOCDB worldwide bibliographic data. https://www.epo.org/en/searching-for-patents/data/bulk-data-sets/docdb （访问日期：2026-09-26）</w:t>
      </w:r>
    </w:p>
    <w:p w14:paraId="1F102F7D">
      <w:pPr>
        <w:spacing w:before="0" w:after="20" w:line="240" w:lineRule="auto"/>
        <w:ind w:left="340" w:hanging="340"/>
      </w:pPr>
      <w:r>
        <w:rPr>
          <w:sz w:val="18"/>
        </w:rPr>
        <w:t>[13] The Lens: Patent and Scholar API. https://support.lens.org/knowledge-base/lens-patent-and-scholar-api/ （访问日期：2026-09-26）</w:t>
      </w:r>
    </w:p>
    <w:p w14:paraId="0D1FADA9">
      <w:pPr>
        <w:spacing w:before="0" w:after="20" w:line="240" w:lineRule="auto"/>
        <w:ind w:left="340" w:hanging="340"/>
      </w:pPr>
      <w:r>
        <w:rPr>
          <w:sz w:val="18"/>
        </w:rPr>
        <w:t>[14] 国家科学技术奖励工作办公室。https://www.nosta.gov.cn/ （访问日期：2026-09-26）</w:t>
      </w:r>
    </w:p>
    <w:p w14:paraId="719D730B">
      <w:pPr>
        <w:spacing w:before="0" w:after="20" w:line="240" w:lineRule="auto"/>
        <w:ind w:left="340" w:hanging="340"/>
      </w:pPr>
      <w:r>
        <w:rPr>
          <w:sz w:val="18"/>
        </w:rPr>
        <w:t>[15] 中华人民共和国科学技术部：国家科学技术奖励获奖项目目录。https://www.most.gov.cn/ （访问日期：2026-09-26）</w:t>
      </w:r>
    </w:p>
    <w:p w14:paraId="6FBFA707">
      <w:pPr>
        <w:spacing w:before="0" w:after="20" w:line="240" w:lineRule="auto"/>
        <w:ind w:left="340" w:hanging="340"/>
      </w:pPr>
      <w:r>
        <w:rPr>
          <w:sz w:val="18"/>
        </w:rPr>
        <w:t>[16] 中国计算机学会：奖励与历年获奖名单。https://www.ccf.org.cn/Awards/ （访问日期：2026-09-26）</w:t>
      </w:r>
    </w:p>
    <w:p w14:paraId="65111796">
      <w:pPr>
        <w:spacing w:before="0" w:after="20" w:line="240" w:lineRule="auto"/>
        <w:ind w:left="340" w:hanging="340"/>
      </w:pPr>
      <w:r>
        <w:rPr>
          <w:sz w:val="18"/>
        </w:rPr>
        <w:t>[17] 中国电子学会：科学技术奖公告。https://www.cie.org.cn/ （访问日期：2026-09-26）</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E2CF7">
    <w:pPr>
      <w:pStyle w:val="24"/>
      <w:jc w:val="center"/>
    </w:pPr>
    <w:r>
      <w:t xml:space="preserve">第 </w:t>
    </w:r>
    <w:r>
      <w:fldChar w:fldCharType="begin"/>
    </w:r>
    <w:r>
      <w:instrText xml:space="preserve"> PAGE </w:instrTex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005F83"/>
    <w:rsid w:val="479709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规范编号"/>
    <w:uiPriority w:val="0"/>
    <w:pPr>
      <w:spacing w:after="200" w:line="276" w:lineRule="auto"/>
    </w:pPr>
    <w:rPr>
      <w:rFonts w:ascii="黑体" w:hAnsi="黑体" w:eastAsia="黑体"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953</Words>
  <Characters>993</Characters>
  <Lines>0</Lines>
  <Paragraphs>0</Paragraphs>
  <TotalTime>14</TotalTime>
  <ScaleCrop>false</ScaleCrop>
  <LinksUpToDate>false</LinksUpToDate>
  <CharactersWithSpaces>1002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昌昂旺</cp:lastModifiedBy>
  <dcterms:modified xsi:type="dcterms:W3CDTF">2026-09-26T08:08:04Z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eyJoZGlkIjoiZGU2NTRiZjZiYWY4ODEyOTc3ZDExZTE4N2E0MTIxODAiLCJ1c2VySWQiOiIxNjk2OTAwNjE5In0=</vt:lpwstr>
  </property>
  <property fmtid="{D5CDD505-2E9C-101B-9397-08002B2CF9AE}" pid="3" name="KSOProductBuildVer">
    <vt:lpwstr>2052-12.1.0.28505</vt:lpwstr>
  </property>
  <property fmtid="{D5CDD505-2E9C-101B-9397-08002B2CF9AE}" pid="4" name="ICV">
    <vt:lpwstr>D7FA46FFBB694E11B5B32EBCEFE113D7_12</vt:lpwstr>
  </property>
</Properties>
</file>