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widowControl/>
        <w:spacing w:after="240" w:line="288" w:lineRule="auto" w:before="0"/>
      </w:pPr>
      <w:r>
        <w:rPr>
          <w:rFonts w:hint="eastAsia"/>
          <w:color w:val="000000"/>
        </w:rPr>
        <w:t>调研支撑材料摘编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本材料从</w:t>
      </w:r>
      <w:r>
        <w:t xml:space="preserve"> v1.1 </w:t>
      </w:r>
      <w:r>
        <w:rPr>
          <w:rFonts w:hint="eastAsia"/>
        </w:rPr>
        <w:t>需求调研报告摘录调研方法、三类角色、平台比较、数据来源与资料索引，便于单独核查。内容仍为原报告的公开资料分析与场景推演，未新增访谈或实验原件。完整背景、结论和限制请结合正式报告阅读。</w:t>
      </w:r>
    </w:p>
    <w:bookmarkStart w:id="15" w:name="调研背景目标与方法"/>
    <w:p>
      <w:pPr>
        <w:pStyle w:val="Heading2"/>
        <w:keepNext/>
        <w:widowControl/>
        <w:spacing w:after="100" w:line="288" w:lineRule="auto" w:before="200"/>
      </w:pPr>
      <w:r>
        <w:t xml:space="preserve">1. </w:t>
      </w:r>
      <w:r>
        <w:rPr>
          <w:rFonts w:hint="eastAsia"/>
        </w:rPr>
        <w:t>调研背景、目标与方法</w:t>
      </w:r>
    </w:p>
    <w:bookmarkStart w:id="9" w:name="项目背景"/>
    <w:p>
      <w:pPr>
        <w:pStyle w:val="Heading3"/>
        <w:keepNext/>
        <w:widowControl/>
        <w:spacing w:after="100" w:line="288" w:lineRule="auto" w:before="200"/>
      </w:pPr>
      <w:r>
        <w:t xml:space="preserve">1.1 </w:t>
      </w:r>
      <w:r>
        <w:rPr>
          <w:rFonts w:hint="eastAsia"/>
        </w:rPr>
        <w:t>项目背景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甲方任务书将平台定位为面向科研从业人员的学术成果分享平台：通过公开来源获得科研人员及其成果，按照学术领域组织信息，为通过审核的科研人员提供个人门户，并支持检索、成果维护和统计分析。成果范围包括论文、授权专利、科研项目和获奖。[A1]</w:t>
      </w:r>
    </w:p>
    <w:p>
      <w:pPr>
        <w:pStyle w:val="BodyText"/>
        <w:widowControl/>
        <w:spacing w:after="100" w:line="288" w:lineRule="auto"/>
      </w:pPr>
      <w:r>
        <w:rPr>
          <w:rFonts w:hint="eastAsia"/>
        </w:rPr>
        <w:t>这一定位包含两方面业务。一方面，普通用户需要从成果中寻找研究资料，并进一步了解作者、机构和研究方向；另一方面，科研人员及管理员需要共同维护成果归属与信息质量。前者决定平台的发现能力，后者决定公开展示能否被信任。</w:t>
      </w:r>
    </w:p>
    <w:p>
      <w:pPr>
        <w:pStyle w:val="BodyText"/>
        <w:widowControl/>
        <w:spacing w:after="100" w:line="288" w:lineRule="auto"/>
      </w:pPr>
      <w:r>
        <w:rPr>
          <w:rFonts w:hint="eastAsia"/>
        </w:rPr>
        <w:t>如果仅建设论文搜索入口，人员门户、其他类型成果和治理流程容易缺位；如果一开始追求完整学术评价和商业化交易，又会超出课程项目可控制的范围。调研需要在业务覆盖与实施工作量之间形成有依据的取舍。</w:t>
      </w:r>
    </w:p>
    <w:bookmarkEnd w:id="9"/>
    <w:bookmarkStart w:id="10" w:name="调研问题"/>
    <w:p>
      <w:pPr>
        <w:pStyle w:val="Heading3"/>
        <w:keepNext/>
        <w:widowControl/>
        <w:spacing w:after="100" w:line="288" w:lineRule="auto" w:before="200"/>
      </w:pPr>
      <w:r>
        <w:t xml:space="preserve">1.2 </w:t>
      </w:r>
      <w:r>
        <w:rPr>
          <w:rFonts w:hint="eastAsia"/>
        </w:rPr>
        <w:t>调研问题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本次调研围绕以下问题展开：</w:t>
      </w:r>
    </w:p>
    <w:p>
      <w:pPr>
        <w:pStyle w:val="Compact"/>
        <w:widowControl/>
        <w:numPr>
          <w:ilvl w:val="0"/>
          <w:numId w:val="1001"/>
        </w:numPr>
        <w:spacing w:after="100" w:line="288" w:lineRule="auto"/>
      </w:pPr>
      <w:r>
        <w:rPr>
          <w:rFonts w:hint="eastAsia"/>
        </w:rPr>
        <w:t>普通用户、科研人员和管理员分别需要完成什么任务，彼此在哪些环节发生协作？</w:t>
      </w:r>
    </w:p>
    <w:p>
      <w:pPr>
        <w:pStyle w:val="Compact"/>
        <w:widowControl/>
        <w:numPr>
          <w:ilvl w:val="0"/>
          <w:numId w:val="1001"/>
        </w:numPr>
        <w:spacing w:after="100" w:line="288" w:lineRule="auto"/>
      </w:pPr>
      <w:r>
        <w:rPr>
          <w:rFonts w:hint="eastAsia"/>
        </w:rPr>
        <w:t>成果信息分散、作者同名、记录重复和归属不清会怎样影响这些任务？</w:t>
      </w:r>
    </w:p>
    <w:p>
      <w:pPr>
        <w:pStyle w:val="Compact"/>
        <w:widowControl/>
        <w:numPr>
          <w:ilvl w:val="0"/>
          <w:numId w:val="1001"/>
        </w:numPr>
        <w:spacing w:after="100" w:line="288" w:lineRule="auto"/>
      </w:pPr>
      <w:r>
        <w:rPr>
          <w:rFonts w:hint="eastAsia"/>
        </w:rPr>
        <w:t>同类平台如何处理个人主页、成果补充、错误关联和信息更新？</w:t>
      </w:r>
    </w:p>
    <w:p>
      <w:pPr>
        <w:pStyle w:val="Compact"/>
        <w:widowControl/>
        <w:numPr>
          <w:ilvl w:val="0"/>
          <w:numId w:val="1001"/>
        </w:numPr>
        <w:spacing w:after="100" w:line="288" w:lineRule="auto"/>
      </w:pPr>
      <w:r>
        <w:rPr>
          <w:rFonts w:hint="eastAsia"/>
        </w:rPr>
        <w:t>四类成果有哪些共同的组织方式，又有哪些必须保留的差异？</w:t>
      </w:r>
    </w:p>
    <w:p>
      <w:pPr>
        <w:pStyle w:val="Compact"/>
        <w:widowControl/>
        <w:numPr>
          <w:ilvl w:val="0"/>
          <w:numId w:val="1001"/>
        </w:numPr>
        <w:spacing w:after="100" w:line="288" w:lineRule="auto"/>
      </w:pPr>
      <w:r>
        <w:rPr>
          <w:rFonts w:hint="eastAsia"/>
        </w:rPr>
        <w:t>机构排名、领域热点和合作网络分别能回答什么问题，其解释边界在哪里？</w:t>
      </w:r>
    </w:p>
    <w:p>
      <w:pPr>
        <w:pStyle w:val="Compact"/>
        <w:widowControl/>
        <w:numPr>
          <w:ilvl w:val="0"/>
          <w:numId w:val="1001"/>
        </w:numPr>
        <w:spacing w:after="100" w:line="288" w:lineRule="auto"/>
      </w:pPr>
      <w:r>
        <w:rPr>
          <w:rFonts w:hint="eastAsia"/>
        </w:rPr>
        <w:t>公开数据能支撑哪些业务，哪些环节需要人工审核或辅助来源？</w:t>
      </w:r>
    </w:p>
    <w:p>
      <w:pPr>
        <w:pStyle w:val="Compact"/>
        <w:widowControl/>
        <w:numPr>
          <w:ilvl w:val="0"/>
          <w:numId w:val="1001"/>
        </w:numPr>
        <w:spacing w:after="100" w:line="288" w:lineRule="auto"/>
      </w:pPr>
      <w:r>
        <w:rPr>
          <w:rFonts w:hint="eastAsia"/>
        </w:rPr>
        <w:t>一期应优先形成哪些业务能力，哪些能力适合后续建设？</w:t>
      </w:r>
    </w:p>
    <w:bookmarkEnd w:id="10"/>
    <w:bookmarkStart w:id="11" w:name="方法与材料范围"/>
    <w:p>
      <w:pPr>
        <w:pStyle w:val="Heading3"/>
        <w:keepNext/>
        <w:widowControl/>
        <w:spacing w:after="100" w:line="288" w:lineRule="auto" w:before="200"/>
      </w:pPr>
      <w:r>
        <w:t xml:space="preserve">1.3 </w:t>
      </w:r>
      <w:r>
        <w:rPr>
          <w:rFonts w:hint="eastAsia"/>
        </w:rPr>
        <w:t>方法与材料范围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调研采用公开资料研究和业务场景推演，未开展实地访谈或问卷调查。角色模型与案例用于分析任务和异常流程。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94"/>
        <w:gridCol w:w="4843"/>
        <w:gridCol w:w="3100"/>
      </w:tblGrid>
      <w:tr>
        <w:trPr>
          <w:tblHeader w:val="on"/>
          <w:tblHeader/>
        </w:trPr>
        <w:tc>
          <w:tcPr>
            <w:tcW w:type="dxa" w:w="169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方法</w:t>
            </w:r>
          </w:p>
        </w:tc>
        <w:tc>
          <w:tcPr>
            <w:tcW w:type="dxa" w:w="484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具体工作</w:t>
            </w:r>
          </w:p>
        </w:tc>
        <w:tc>
          <w:tcPr>
            <w:tcW w:type="dxa" w:w="31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形成的材料</w:t>
            </w:r>
          </w:p>
        </w:tc>
      </w:tr>
      <w:tr>
        <w:trPr/>
        <w:tc>
          <w:tcPr>
            <w:tcW w:type="dxa" w:w="169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任务书分析</w:t>
            </w:r>
          </w:p>
        </w:tc>
        <w:tc>
          <w:tcPr>
            <w:tcW w:type="dxa" w:w="484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提取平台定位、服务对象、成果范围及课程约束</w:t>
            </w:r>
          </w:p>
        </w:tc>
        <w:tc>
          <w:tcPr>
            <w:tcW w:type="dxa" w:w="31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研究问题与业务边界</w:t>
            </w:r>
          </w:p>
        </w:tc>
      </w:tr>
      <w:tr>
        <w:trPr/>
        <w:tc>
          <w:tcPr>
            <w:tcW w:type="dxa" w:w="169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同类平台资料研究</w:t>
            </w:r>
          </w:p>
        </w:tc>
        <w:tc>
          <w:tcPr>
            <w:tcW w:type="dxa" w:w="484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阅读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Google Scholar、Semantic Scholar、OpenAlex、DBLP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等官方说明</w:t>
            </w:r>
          </w:p>
        </w:tc>
        <w:tc>
          <w:tcPr>
            <w:tcW w:type="dxa" w:w="31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业务机制比较、可借鉴做法</w:t>
            </w:r>
          </w:p>
        </w:tc>
      </w:tr>
      <w:tr>
        <w:trPr/>
        <w:tc>
          <w:tcPr>
            <w:tcW w:type="dxa" w:w="169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角色与任务分析</w:t>
            </w:r>
          </w:p>
        </w:tc>
        <w:tc>
          <w:tcPr>
            <w:tcW w:type="dxa" w:w="484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从各角色的目标、输入、判断和协作关系推演需求</w:t>
            </w:r>
          </w:p>
        </w:tc>
        <w:tc>
          <w:tcPr>
            <w:tcW w:type="dxa" w:w="31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角色模型、关注点及冲突分析</w:t>
            </w:r>
          </w:p>
        </w:tc>
      </w:tr>
      <w:tr>
        <w:trPr/>
        <w:tc>
          <w:tcPr>
            <w:tcW w:type="dxa" w:w="169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典型场景推演</w:t>
            </w:r>
          </w:p>
        </w:tc>
        <w:tc>
          <w:tcPr>
            <w:tcW w:type="dxa" w:w="484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对检索、认领、维护、统计和异常处理进行逐步走查</w:t>
            </w:r>
          </w:p>
        </w:tc>
        <w:tc>
          <w:tcPr>
            <w:tcW w:type="dxa" w:w="31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业务场景及中断点分析</w:t>
            </w:r>
          </w:p>
        </w:tc>
      </w:tr>
      <w:tr>
        <w:trPr/>
        <w:tc>
          <w:tcPr>
            <w:tcW w:type="dxa" w:w="169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数据条件调查</w:t>
            </w:r>
          </w:p>
        </w:tc>
        <w:tc>
          <w:tcPr>
            <w:tcW w:type="dxa" w:w="484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核对论文及非论文成果的公开来源和信息范围</w:t>
            </w:r>
          </w:p>
        </w:tc>
        <w:tc>
          <w:tcPr>
            <w:tcW w:type="dxa" w:w="31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数据支撑能力、来源限制与可行性判断</w:t>
            </w:r>
          </w:p>
        </w:tc>
      </w:tr>
      <w:tr>
        <w:trPr/>
        <w:tc>
          <w:tcPr>
            <w:tcW w:type="dxa" w:w="169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实验记录整理</w:t>
            </w:r>
          </w:p>
        </w:tc>
        <w:tc>
          <w:tcPr>
            <w:tcW w:type="dxa" w:w="484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整理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2026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年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10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月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1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日的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Crossref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与非论文采集实验描述</w:t>
            </w:r>
          </w:p>
        </w:tc>
        <w:tc>
          <w:tcPr>
            <w:tcW w:type="dxa" w:w="31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样本字段、来源限制及待复核结论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[E1][E2]</w:t>
            </w:r>
          </w:p>
        </w:tc>
      </w:tr>
      <w:tr>
        <w:trPr/>
        <w:tc>
          <w:tcPr>
            <w:tcW w:type="dxa" w:w="169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协作材料审阅</w:t>
            </w:r>
          </w:p>
        </w:tc>
        <w:tc>
          <w:tcPr>
            <w:tcW w:type="dxa" w:w="484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对照核心模块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SPEC、认领与采集状态图及活动图，识别补充项与冲突</w:t>
            </w:r>
          </w:p>
        </w:tc>
        <w:tc>
          <w:tcPr>
            <w:tcW w:type="dxa" w:w="31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采纳、调整及保留待评审事项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[C1～C4]</w:t>
            </w:r>
          </w:p>
        </w:tc>
      </w:tr>
      <w:tr>
        <w:trPr/>
        <w:tc>
          <w:tcPr>
            <w:tcW w:type="dxa" w:w="169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交叉核对</w:t>
            </w:r>
          </w:p>
        </w:tc>
        <w:tc>
          <w:tcPr>
            <w:tcW w:type="dxa" w:w="484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对照任务书、平台机制和数据条件审视同一业务结论</w:t>
            </w:r>
          </w:p>
        </w:tc>
        <w:tc>
          <w:tcPr>
            <w:tcW w:type="dxa" w:w="31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调研发现与建议追踪表</w:t>
            </w:r>
          </w:p>
        </w:tc>
      </w:tr>
    </w:tbl>
    <w:p>
      <w:pPr>
        <w:pStyle w:val="BodyText"/>
        <w:widowControl/>
        <w:spacing w:after="100" w:line="288" w:lineRule="auto"/>
      </w:pPr>
      <w:r>
        <w:rPr>
          <w:rFonts w:hint="eastAsia"/>
        </w:rPr>
        <w:t>引用资料的查询和实验日期记为</w:t>
      </w:r>
      <w:r>
        <w:t xml:space="preserve"> 2026 </w:t>
      </w:r>
      <w:r>
        <w:rPr>
          <w:rFonts w:hint="eastAsia"/>
        </w:rPr>
        <w:t>年</w:t>
      </w:r>
      <w:r>
        <w:t xml:space="preserve"> 10 </w:t>
      </w:r>
      <w:r>
        <w:rPr>
          <w:rFonts w:hint="eastAsia"/>
        </w:rPr>
        <w:t>月</w:t>
      </w:r>
      <w:r>
        <w:t xml:space="preserve"> 1 </w:t>
      </w:r>
      <w:r>
        <w:rPr>
          <w:rFonts w:hint="eastAsia"/>
        </w:rPr>
        <w:t>日。两项实验的脚本、原始响应、样本及校验文件未随项目材料提交，报告沿用其记录，未重新运行；相关结论待原件补齐后复核。平台公开说明用于比较业务机制，不作为用户偏好或系统性能的证据。</w:t>
      </w:r>
    </w:p>
    <w:bookmarkEnd w:id="11"/>
    <w:bookmarkStart w:id="14" w:name="调研报告与需求文档的分工"/>
    <w:p>
      <w:pPr>
        <w:pStyle w:val="Heading3"/>
        <w:keepNext/>
        <w:widowControl/>
        <w:spacing w:after="100" w:line="288" w:lineRule="auto" w:before="200"/>
      </w:pPr>
      <w:r>
        <w:t xml:space="preserve">1.4 </w:t>
      </w:r>
      <w:r>
        <w:rPr>
          <w:rFonts w:hint="eastAsia"/>
        </w:rPr>
        <w:t>调研报告与需求文档的分工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调研报告说明业务目标、问题和方案取舍；</w:t>
      </w:r>
      <w:hyperlink r:id="rId12">
        <w:r>
          <w:rPr>
            <w:rStyle w:val="Hyperlink"/>
          </w:rPr>
          <w:t xml:space="preserve">SRS</w:t>
        </w:r>
      </w:hyperlink>
      <w:r>
        <w:rPr>
          <w:rFonts w:hint="eastAsia"/>
        </w:rPr>
        <w:t>规定功能、权限、数据规则、用例和验收要求；</w:t>
      </w:r>
      <w:hyperlink r:id="rId13">
        <w:r>
          <w:rPr>
            <w:rStyle w:val="Hyperlink"/>
          </w:rPr>
          <w:t xml:space="preserve">SPEC</w:t>
        </w:r>
      </w:hyperlink>
      <w:r>
        <w:rPr>
          <w:rFonts w:hint="eastAsia"/>
        </w:rPr>
        <w:t>规定模块输入输出、处理规则和测试方法。</w:t>
      </w:r>
    </w:p>
    <w:bookmarkEnd w:id="14"/>
    <w:bookmarkEnd w:id="15"/>
    <w:bookmarkStart w:id="21" w:name="服务对象与角色任务分析"/>
    <w:p>
      <w:pPr>
        <w:pStyle w:val="Heading2"/>
        <w:keepNext/>
        <w:widowControl/>
        <w:spacing w:after="100" w:line="288" w:lineRule="auto" w:before="200"/>
      </w:pPr>
      <w:r>
        <w:t xml:space="preserve">3. </w:t>
      </w:r>
      <w:r>
        <w:rPr>
          <w:rFonts w:hint="eastAsia"/>
        </w:rPr>
        <w:t>服务对象与角色任务分析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根据任务书和公开业务机制，平台服务对象分为普通用户、科研人员和管理员。</w:t>
      </w:r>
    </w:p>
    <w:bookmarkStart w:id="16" w:name="普通用户从查到资料到判断资料是否适用"/>
    <w:p>
      <w:pPr>
        <w:pStyle w:val="Heading3"/>
        <w:keepNext/>
        <w:widowControl/>
        <w:spacing w:after="100" w:line="288" w:lineRule="auto" w:before="200"/>
      </w:pPr>
      <w:r>
        <w:t xml:space="preserve">3.1 </w:t>
      </w:r>
      <w:r>
        <w:rPr>
          <w:rFonts w:hint="eastAsia"/>
        </w:rPr>
        <w:t>普通用户：从查到资料到判断资料是否适用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普通用户的任务可以从“已知成果查询”和“主题探索”两个入口分析。前者通常拥有题名、作者或标识，希望迅速定位；后者只有研究问题，需要逐步缩小主题、时间和成果类型范围。</w:t>
      </w:r>
    </w:p>
    <w:p>
      <w:pPr>
        <w:pStyle w:val="BodyText"/>
        <w:widowControl/>
        <w:spacing w:after="100" w:line="288" w:lineRule="auto"/>
      </w:pPr>
      <w:r>
        <w:rPr>
          <w:rFonts w:hint="eastAsia"/>
        </w:rPr>
        <w:t>两类任务都不以返回结果列表为终点。用户还需判断成果的出处、作者、时间、研究内容和访问入口，并可能继续查看学者的其他成果。平台的业务价值由检索结果能否支持这些判断来体现。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28"/>
        <w:gridCol w:w="2620"/>
        <w:gridCol w:w="2528"/>
        <w:gridCol w:w="2962"/>
      </w:tblGrid>
      <w:tr>
        <w:trPr>
          <w:tblHeader w:val="on"/>
          <w:tblHeader/>
        </w:trPr>
        <w:tc>
          <w:tcPr>
            <w:tcW w:type="dxa" w:w="15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任务阶段</w:t>
            </w:r>
          </w:p>
        </w:tc>
        <w:tc>
          <w:tcPr>
            <w:tcW w:type="dxa" w:w="26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用户需要判断的问题</w:t>
            </w:r>
          </w:p>
        </w:tc>
        <w:tc>
          <w:tcPr>
            <w:tcW w:type="dxa" w:w="25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潜在中断点</w:t>
            </w:r>
          </w:p>
        </w:tc>
        <w:tc>
          <w:tcPr>
            <w:tcW w:type="dxa" w:w="296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调研推导</w:t>
            </w:r>
          </w:p>
        </w:tc>
      </w:tr>
      <w:tr>
        <w:trPr/>
        <w:tc>
          <w:tcPr>
            <w:tcW w:type="dxa" w:w="15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明确检索范围</w:t>
            </w:r>
          </w:p>
        </w:tc>
        <w:tc>
          <w:tcPr>
            <w:tcW w:type="dxa" w:w="26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应按题名、姓名还是研究主题查找？</w:t>
            </w:r>
          </w:p>
        </w:tc>
        <w:tc>
          <w:tcPr>
            <w:tcW w:type="dxa" w:w="25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不知道使用哪个入口，关键词过宽</w:t>
            </w:r>
          </w:p>
        </w:tc>
        <w:tc>
          <w:tcPr>
            <w:tcW w:type="dxa" w:w="296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检索入口需适应精确定位与探索两类任务</w:t>
            </w:r>
          </w:p>
        </w:tc>
      </w:tr>
      <w:tr>
        <w:trPr/>
        <w:tc>
          <w:tcPr>
            <w:tcW w:type="dxa" w:w="15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缩小候选集合</w:t>
            </w:r>
          </w:p>
        </w:tc>
        <w:tc>
          <w:tcPr>
            <w:tcW w:type="dxa" w:w="26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哪些成果与研究任务有关？</w:t>
            </w:r>
          </w:p>
        </w:tc>
        <w:tc>
          <w:tcPr>
            <w:tcW w:type="dxa" w:w="25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类型混杂，年份或领域难比较</w:t>
            </w:r>
          </w:p>
        </w:tc>
        <w:tc>
          <w:tcPr>
            <w:tcW w:type="dxa" w:w="296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类型、时间与领域组织具有直接业务价值</w:t>
            </w:r>
          </w:p>
        </w:tc>
      </w:tr>
      <w:tr>
        <w:trPr/>
        <w:tc>
          <w:tcPr>
            <w:tcW w:type="dxa" w:w="15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核对成果</w:t>
            </w:r>
          </w:p>
        </w:tc>
        <w:tc>
          <w:tcPr>
            <w:tcW w:type="dxa" w:w="26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是否为目标成果，出处是否清楚？</w:t>
            </w:r>
          </w:p>
        </w:tc>
        <w:tc>
          <w:tcPr>
            <w:tcW w:type="dxa" w:w="25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同名、重复记录、信息缺失</w:t>
            </w:r>
          </w:p>
        </w:tc>
        <w:tc>
          <w:tcPr>
            <w:tcW w:type="dxa" w:w="296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详情应帮助核验身份与来源</w:t>
            </w:r>
          </w:p>
        </w:tc>
      </w:tr>
      <w:tr>
        <w:trPr/>
        <w:tc>
          <w:tcPr>
            <w:tcW w:type="dxa" w:w="15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获取后续线索</w:t>
            </w:r>
          </w:p>
        </w:tc>
        <w:tc>
          <w:tcPr>
            <w:tcW w:type="dxa" w:w="26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哪里访问原文，还有哪些相关成果？</w:t>
            </w:r>
          </w:p>
        </w:tc>
        <w:tc>
          <w:tcPr>
            <w:tcW w:type="dxa" w:w="25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把题录误当全文，外部入口不可用</w:t>
            </w:r>
          </w:p>
        </w:tc>
        <w:tc>
          <w:tcPr>
            <w:tcW w:type="dxa" w:w="296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明确区分信息展示、访问入口和内容可获得性</w:t>
            </w:r>
          </w:p>
        </w:tc>
      </w:tr>
      <w:tr>
        <w:trPr/>
        <w:tc>
          <w:tcPr>
            <w:tcW w:type="dxa" w:w="15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了解人员</w:t>
            </w:r>
          </w:p>
        </w:tc>
        <w:tc>
          <w:tcPr>
            <w:tcW w:type="dxa" w:w="26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该作者还研究什么，与谁合作？</w:t>
            </w:r>
          </w:p>
        </w:tc>
        <w:tc>
          <w:tcPr>
            <w:tcW w:type="dxa" w:w="25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作者记录与学者门户无法对应</w:t>
            </w:r>
          </w:p>
        </w:tc>
        <w:tc>
          <w:tcPr>
            <w:tcW w:type="dxa" w:w="296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成果与人员之间需有可信且可解释的联系</w:t>
            </w:r>
          </w:p>
        </w:tc>
      </w:tr>
    </w:tbl>
    <w:bookmarkEnd w:id="16"/>
    <w:bookmarkStart w:id="17" w:name="科研人员保持公开展示完整而准确"/>
    <w:p>
      <w:pPr>
        <w:pStyle w:val="Heading3"/>
        <w:keepNext/>
        <w:widowControl/>
        <w:spacing w:after="100" w:line="288" w:lineRule="auto" w:before="200"/>
      </w:pPr>
      <w:r>
        <w:t xml:space="preserve">3.2 </w:t>
      </w:r>
      <w:r>
        <w:rPr>
          <w:rFonts w:hint="eastAsia"/>
        </w:rPr>
        <w:t>科研人员：保持公开展示完整而准确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科研人员既可能检索他人成果，也需要管理自身的公开资料。后者至少包含身份与门户确认、补充遗漏、纠正误关联、整理成果说明以及查看展示效果。</w:t>
      </w:r>
    </w:p>
    <w:p>
      <w:pPr>
        <w:pStyle w:val="BodyText"/>
        <w:widowControl/>
        <w:spacing w:after="100" w:line="288" w:lineRule="auto"/>
      </w:pPr>
      <w:r>
        <w:rPr>
          <w:rFonts w:hint="eastAsia"/>
        </w:rPr>
        <w:t>其核心矛盾是维护便利与公共数据可信度。若每个说明性修改都等待管理员，维护成本会增大；若任何认领者都能改写共享题录和他人关联，公共资料又缺乏稳定性。由此，本报告建议将个人展示信息和公共成果事实分开治理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44"/>
        <w:gridCol w:w="3952"/>
        <w:gridCol w:w="3842"/>
      </w:tblGrid>
      <w:tr>
        <w:trPr>
          <w:tblHeader w:val="on"/>
          <w:tblHeader/>
        </w:trPr>
        <w:tc>
          <w:tcPr>
            <w:tcW w:type="dxa" w:w="184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关注点</w:t>
            </w:r>
          </w:p>
        </w:tc>
        <w:tc>
          <w:tcPr>
            <w:tcW w:type="dxa" w:w="395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业务含义</w:t>
            </w:r>
          </w:p>
        </w:tc>
        <w:tc>
          <w:tcPr>
            <w:tcW w:type="dxa" w:w="384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对建设方向的影响</w:t>
            </w:r>
          </w:p>
        </w:tc>
      </w:tr>
      <w:tr>
        <w:trPr/>
        <w:tc>
          <w:tcPr>
            <w:tcW w:type="dxa" w:w="184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完整性</w:t>
            </w:r>
          </w:p>
        </w:tc>
        <w:tc>
          <w:tcPr>
            <w:tcW w:type="dxa" w:w="395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各类贡献能被集中呈现</w:t>
            </w:r>
          </w:p>
        </w:tc>
        <w:tc>
          <w:tcPr>
            <w:tcW w:type="dxa" w:w="384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门户不能只展示论文</w:t>
            </w:r>
          </w:p>
        </w:tc>
      </w:tr>
      <w:tr>
        <w:trPr/>
        <w:tc>
          <w:tcPr>
            <w:tcW w:type="dxa" w:w="184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正确归属</w:t>
            </w:r>
          </w:p>
        </w:tc>
        <w:tc>
          <w:tcPr>
            <w:tcW w:type="dxa" w:w="395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同名他人的成果不应混入个人确认列表</w:t>
            </w:r>
          </w:p>
        </w:tc>
        <w:tc>
          <w:tcPr>
            <w:tcW w:type="dxa" w:w="384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提供认领核验与错误关联处理</w:t>
            </w:r>
          </w:p>
        </w:tc>
      </w:tr>
      <w:tr>
        <w:trPr/>
        <w:tc>
          <w:tcPr>
            <w:tcW w:type="dxa" w:w="184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维护成本</w:t>
            </w:r>
          </w:p>
        </w:tc>
        <w:tc>
          <w:tcPr>
            <w:tcW w:type="dxa" w:w="395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已有公开资料可以复用，避免反复填写</w:t>
            </w:r>
          </w:p>
        </w:tc>
        <w:tc>
          <w:tcPr>
            <w:tcW w:type="dxa" w:w="384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以检索和关联已有记录为主，补录作为补充</w:t>
            </w:r>
          </w:p>
        </w:tc>
      </w:tr>
      <w:tr>
        <w:trPr/>
        <w:tc>
          <w:tcPr>
            <w:tcW w:type="dxa" w:w="184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展示控制</w:t>
            </w:r>
          </w:p>
        </w:tc>
        <w:tc>
          <w:tcPr>
            <w:tcW w:type="dxa" w:w="395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能解释成果贡献、整理展示顺序</w:t>
            </w:r>
          </w:p>
        </w:tc>
        <w:tc>
          <w:tcPr>
            <w:tcW w:type="dxa" w:w="384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为个人说明和标签保留自主维护空间</w:t>
            </w:r>
          </w:p>
        </w:tc>
      </w:tr>
      <w:tr>
        <w:trPr/>
        <w:tc>
          <w:tcPr>
            <w:tcW w:type="dxa" w:w="184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处理透明</w:t>
            </w:r>
          </w:p>
        </w:tc>
        <w:tc>
          <w:tcPr>
            <w:tcW w:type="dxa" w:w="395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知道申请是否收到、为何驳回、还需补充什么</w:t>
            </w:r>
          </w:p>
        </w:tc>
        <w:tc>
          <w:tcPr>
            <w:tcW w:type="dxa" w:w="384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申请处理需形成可追踪的反馈过程</w:t>
            </w:r>
          </w:p>
        </w:tc>
      </w:tr>
      <w:tr>
        <w:trPr/>
        <w:tc>
          <w:tcPr>
            <w:tcW w:type="dxa" w:w="184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数据连续性</w:t>
            </w:r>
          </w:p>
        </w:tc>
        <w:tc>
          <w:tcPr>
            <w:tcW w:type="dxa" w:w="395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机构变更不应随意改写既往成果事实</w:t>
            </w:r>
          </w:p>
        </w:tc>
        <w:tc>
          <w:tcPr>
            <w:tcW w:type="dxa" w:w="384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当前身份与成果发生时的机构信息分别理解</w:t>
            </w:r>
          </w:p>
        </w:tc>
      </w:tr>
    </w:tbl>
    <w:bookmarkEnd w:id="17"/>
    <w:bookmarkStart w:id="18" w:name="平台管理员以证据处理申请和异常"/>
    <w:p>
      <w:pPr>
        <w:pStyle w:val="Heading3"/>
        <w:keepNext/>
        <w:widowControl/>
        <w:spacing w:after="100" w:line="288" w:lineRule="auto" w:before="200"/>
      </w:pPr>
      <w:r>
        <w:t xml:space="preserve">3.3 </w:t>
      </w:r>
      <w:r>
        <w:rPr>
          <w:rFonts w:hint="eastAsia"/>
        </w:rPr>
        <w:t>平台管理员：以证据处理申请和异常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管理员承担公共信息的质量责任，其工作既有认领审核，也有重复记录、错误字段、来源冲突和更新失败等处理。角色分析表明，管理员需要看到申请上下文和已有记录之间的关系，才能作出一致判断。</w:t>
      </w:r>
    </w:p>
    <w:p>
      <w:pPr>
        <w:pStyle w:val="BodyText"/>
        <w:widowControl/>
        <w:spacing w:after="100" w:line="288" w:lineRule="auto"/>
      </w:pPr>
      <w:r>
        <w:rPr>
          <w:rFonts w:hint="eastAsia"/>
        </w:rPr>
        <w:t>审核并非简单点击通过或驳回。证据不足时需要补充材料；发现记录已经存在时需要关联或归并；外部来源暂时无数据时需要说明原因。处理结果还需能够被后续人员复查，减少争议依赖个人记忆。</w:t>
      </w:r>
    </w:p>
    <w:bookmarkEnd w:id="18"/>
    <w:bookmarkStart w:id="19" w:name="角色之间的协作与冲突"/>
    <w:p>
      <w:pPr>
        <w:pStyle w:val="Heading3"/>
        <w:keepNext/>
        <w:widowControl/>
        <w:spacing w:after="100" w:line="288" w:lineRule="auto" w:before="200"/>
      </w:pPr>
      <w:r>
        <w:t xml:space="preserve">3.4 </w:t>
      </w:r>
      <w:r>
        <w:rPr>
          <w:rFonts w:hint="eastAsia"/>
        </w:rPr>
        <w:t>角色之间的协作与冲突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51"/>
        <w:gridCol w:w="3641"/>
        <w:gridCol w:w="3446"/>
      </w:tblGrid>
      <w:tr>
        <w:trPr>
          <w:tblHeader w:val="on"/>
          <w:tblHeader/>
        </w:trPr>
        <w:tc>
          <w:tcPr>
            <w:tcW w:type="dxa" w:w="255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冲突</w:t>
            </w:r>
          </w:p>
        </w:tc>
        <w:tc>
          <w:tcPr>
            <w:tcW w:type="dxa" w:w="364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单方面处理的风险</w:t>
            </w:r>
          </w:p>
        </w:tc>
        <w:tc>
          <w:tcPr>
            <w:tcW w:type="dxa" w:w="344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本报告的取舍建议</w:t>
            </w:r>
          </w:p>
        </w:tc>
      </w:tr>
      <w:tr>
        <w:trPr/>
        <w:tc>
          <w:tcPr>
            <w:tcW w:type="dxa" w:w="255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快速认领与防止误领</w:t>
            </w:r>
          </w:p>
        </w:tc>
        <w:tc>
          <w:tcPr>
            <w:tcW w:type="dxa" w:w="364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全自动可能错配，全部人工逐项录入又加重负担</w:t>
            </w:r>
          </w:p>
        </w:tc>
        <w:tc>
          <w:tcPr>
            <w:tcW w:type="dxa" w:w="344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自动提供候选与检查，关键归属由审核确认</w:t>
            </w:r>
          </w:p>
        </w:tc>
      </w:tr>
      <w:tr>
        <w:trPr/>
        <w:tc>
          <w:tcPr>
            <w:tcW w:type="dxa" w:w="255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自主维护与共享数据稳定</w:t>
            </w:r>
          </w:p>
        </w:tc>
        <w:tc>
          <w:tcPr>
            <w:tcW w:type="dxa" w:w="364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一人的编辑影响所有人的成果展示</w:t>
            </w:r>
          </w:p>
        </w:tc>
        <w:tc>
          <w:tcPr>
            <w:tcW w:type="dxa" w:w="344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个人说明自主维护，共享事实变更接受治理</w:t>
            </w:r>
          </w:p>
        </w:tc>
      </w:tr>
      <w:tr>
        <w:trPr/>
        <w:tc>
          <w:tcPr>
            <w:tcW w:type="dxa" w:w="255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公开分享与材料保护</w:t>
            </w:r>
          </w:p>
        </w:tc>
        <w:tc>
          <w:tcPr>
            <w:tcW w:type="dxa" w:w="364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审核资料混入公开门户</w:t>
            </w:r>
          </w:p>
        </w:tc>
        <w:tc>
          <w:tcPr>
            <w:tcW w:type="dxa" w:w="344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公开成果与内部证据使用不同可见范围</w:t>
            </w:r>
          </w:p>
        </w:tc>
      </w:tr>
      <w:tr>
        <w:trPr/>
        <w:tc>
          <w:tcPr>
            <w:tcW w:type="dxa" w:w="255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信息完整与来源可信</w:t>
            </w:r>
          </w:p>
        </w:tc>
        <w:tc>
          <w:tcPr>
            <w:tcW w:type="dxa" w:w="364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为补齐页面而填写未经证实的字段</w:t>
            </w:r>
          </w:p>
        </w:tc>
        <w:tc>
          <w:tcPr>
            <w:tcW w:type="dxa" w:w="344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保留未知，允许有依据的补充和修正</w:t>
            </w:r>
          </w:p>
        </w:tc>
      </w:tr>
      <w:tr>
        <w:trPr/>
        <w:tc>
          <w:tcPr>
            <w:tcW w:type="dxa" w:w="255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简明排名与客观解释</w:t>
            </w:r>
          </w:p>
        </w:tc>
        <w:tc>
          <w:tcPr>
            <w:tcW w:type="dxa" w:w="364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单个数字被误读为完整科研能力</w:t>
            </w:r>
          </w:p>
        </w:tc>
        <w:tc>
          <w:tcPr>
            <w:tcW w:type="dxa" w:w="344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公开数据范围、比较条件和指标含义</w:t>
            </w:r>
          </w:p>
        </w:tc>
      </w:tr>
    </w:tbl>
    <w:bookmarkEnd w:id="19"/>
    <w:bookmarkStart w:id="20" w:name="查询与科研资料利用需求"/>
    <w:p>
      <w:pPr>
        <w:pStyle w:val="Heading3"/>
        <w:keepNext/>
        <w:widowControl/>
        <w:spacing w:after="100" w:line="288" w:lineRule="auto" w:before="200"/>
      </w:pPr>
      <w:r>
        <w:t xml:space="preserve">3.5 </w:t>
      </w:r>
      <w:r>
        <w:rPr>
          <w:rFonts w:hint="eastAsia"/>
        </w:rPr>
        <w:t>查询与科研资料利用需求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普通用户的查询通常经过主题发现、同名人物确认、组合筛选、详情核实、查看统计明细和资料整理。姓名用于查找候选人物，确认后按人物</w:t>
      </w:r>
      <w:r>
        <w:t xml:space="preserve"> ID </w:t>
      </w:r>
      <w:r>
        <w:rPr>
          <w:rFonts w:hint="eastAsia"/>
        </w:rPr>
        <w:t>检索；当前任职机构与成果发生时的机构分别记录。专利发明人与申请人、项目负责人与依托单位、获奖个人与获奖单位各有不同含义。</w:t>
      </w:r>
    </w:p>
    <w:p>
      <w:pPr>
        <w:pStyle w:val="BodyText"/>
        <w:widowControl/>
        <w:spacing w:after="100" w:line="288" w:lineRule="auto"/>
      </w:pPr>
      <w:r>
        <w:rPr>
          <w:rFonts w:hint="eastAsia"/>
        </w:rPr>
        <w:t>科研人员不仅需要展示本人成果，还需要开展研究现状调研：查看参考文献与后续研究线索，关联代码和数据集，整理专题、笔记、比较和引用。平台保存资料及其依据，研究结论由科研人员形成。专题库、私人笔记和导出是增强功能，综述代写、自动创新性判断和自动实验复现不纳入一期。</w:t>
      </w:r>
    </w:p>
    <w:p>
      <w:pPr>
        <w:pStyle w:val="BodyText"/>
        <w:widowControl/>
        <w:spacing w:after="100" w:line="288" w:lineRule="auto"/>
      </w:pPr>
      <w:r>
        <w:rPr>
          <w:rFonts w:hint="eastAsia"/>
        </w:rPr>
        <w:t>角色依赖形成三条衔接的任务线：普通用户核实公开资料，科研人员确认本人身份和贡献，管理员维护来源、处理审核及数据冲突。个人附加说明可以自主维护，公共事实和身份关系需要审核；任何角色的私人笔记与认领证明均不作为公开资料。</w:t>
      </w:r>
    </w:p>
    <w:bookmarkEnd w:id="20"/>
    <w:bookmarkEnd w:id="21"/>
    <w:bookmarkStart w:id="35" w:name="同类平台业务机制比较"/>
    <w:p>
      <w:pPr>
        <w:pStyle w:val="Heading2"/>
        <w:keepNext/>
        <w:widowControl/>
        <w:spacing w:after="100" w:line="288" w:lineRule="auto" w:before="200"/>
      </w:pPr>
      <w:r>
        <w:t xml:space="preserve">5. </w:t>
      </w:r>
      <w:r>
        <w:rPr>
          <w:rFonts w:hint="eastAsia"/>
        </w:rPr>
        <w:t>同类平台业务机制比较</w:t>
      </w:r>
    </w:p>
    <w:bookmarkStart w:id="22" w:name="选取原则"/>
    <w:p>
      <w:pPr>
        <w:pStyle w:val="Heading3"/>
        <w:keepNext/>
        <w:widowControl/>
        <w:spacing w:after="100" w:line="288" w:lineRule="auto" w:before="200"/>
      </w:pPr>
      <w:r>
        <w:t xml:space="preserve">5.1 </w:t>
      </w:r>
      <w:r>
        <w:rPr>
          <w:rFonts w:hint="eastAsia"/>
        </w:rPr>
        <w:t>选取原则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比较对象覆盖作者成果展示、主页认领与纠错、研究实体关联和专业书目组织等功能。分析以官方公开说明为依据，侧重业务机制；帮助页未提及的功能记为信息不足。</w:t>
      </w:r>
    </w:p>
    <w:bookmarkEnd w:id="22"/>
    <w:bookmarkStart w:id="33" w:name="比较结果"/>
    <w:p>
      <w:pPr>
        <w:pStyle w:val="Heading3"/>
        <w:keepNext/>
        <w:widowControl/>
        <w:spacing w:after="100" w:line="288" w:lineRule="auto" w:before="200"/>
      </w:pPr>
      <w:r>
        <w:t xml:space="preserve">5.2 </w:t>
      </w:r>
      <w:r>
        <w:rPr>
          <w:rFonts w:hint="eastAsia"/>
        </w:rPr>
        <w:t>比较结果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15"/>
        <w:gridCol w:w="3051"/>
        <w:gridCol w:w="2580"/>
        <w:gridCol w:w="1692"/>
      </w:tblGrid>
      <w:tr>
        <w:trPr>
          <w:tblHeader w:val="on"/>
          <w:tblHeader/>
        </w:trPr>
        <w:tc>
          <w:tcPr>
            <w:tcW w:type="dxa" w:w="231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对象</w:t>
            </w:r>
          </w:p>
        </w:tc>
        <w:tc>
          <w:tcPr>
            <w:tcW w:type="dxa" w:w="305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官方说明可确认的机制</w:t>
            </w:r>
          </w:p>
        </w:tc>
        <w:tc>
          <w:tcPr>
            <w:tcW w:type="dxa" w:w="25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本项目关注的业务启发</w:t>
            </w:r>
          </w:p>
        </w:tc>
        <w:tc>
          <w:tcPr>
            <w:tcW w:type="dxa" w:w="16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参考材料</w:t>
            </w:r>
          </w:p>
        </w:tc>
      </w:tr>
      <w:tr>
        <w:trPr/>
        <w:tc>
          <w:tcPr>
            <w:tcW w:type="dxa" w:w="231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Google Scholar Profiles</w:t>
            </w:r>
          </w:p>
        </w:tc>
        <w:tc>
          <w:tcPr>
            <w:tcW w:type="dxa" w:w="305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作者可维护个人成果、处理误归属与重复记录，查看随时间变化的引用信息</w:t>
            </w:r>
          </w:p>
        </w:tc>
        <w:tc>
          <w:tcPr>
            <w:tcW w:type="dxa" w:w="25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个人成果管理需要持续纠错，统计依赖正确的资料集合</w:t>
            </w:r>
          </w:p>
        </w:tc>
        <w:tc>
          <w:tcPr>
            <w:tcW w:type="dxa" w:w="16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hyperlink r:id="rId23">
              <w:r>
                <w:rPr>
                  <w:rStyle w:val="Hyperlink"/>
                  <w:rFonts w:hint="eastAsia"/>
                </w:rPr>
                <w:t xml:space="preserve">作者资料帮助</w:t>
              </w:r>
            </w:hyperlink>
          </w:p>
        </w:tc>
      </w:tr>
      <w:tr>
        <w:trPr/>
        <w:tc>
          <w:tcPr>
            <w:tcW w:type="dxa" w:w="231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Semantic Scholar</w:t>
            </w:r>
          </w:p>
        </w:tc>
        <w:tc>
          <w:tcPr>
            <w:tcW w:type="dxa" w:w="305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自动生成作者页面；主页认领提交支持信息并接受审核；提供论文关联修正入口</w:t>
            </w:r>
          </w:p>
        </w:tc>
        <w:tc>
          <w:tcPr>
            <w:tcW w:type="dxa" w:w="25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“已存在页面”与“有权管理页面”需区分，认领过程需要证据</w:t>
            </w:r>
          </w:p>
        </w:tc>
        <w:tc>
          <w:tcPr>
            <w:tcW w:type="dxa" w:w="16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hyperlink r:id="rId24">
              <w:r>
                <w:rPr>
                  <w:rStyle w:val="Hyperlink"/>
                  <w:rFonts w:hint="eastAsia"/>
                </w:rPr>
                <w:t xml:space="preserve">作者主页说明</w:t>
              </w:r>
            </w:hyperlink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hyperlink r:id="rId25">
              <w:r>
                <w:rPr>
                  <w:rStyle w:val="Hyperlink"/>
                  <w:rFonts w:hint="eastAsia"/>
                </w:rPr>
                <w:t xml:space="preserve">官方常见问题</w:t>
              </w:r>
            </w:hyperlink>
          </w:p>
        </w:tc>
      </w:tr>
      <w:tr>
        <w:trPr/>
        <w:tc>
          <w:tcPr>
            <w:tcW w:type="dxa" w:w="231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OpenAlex</w:t>
            </w:r>
          </w:p>
        </w:tc>
        <w:tc>
          <w:tcPr>
            <w:tcW w:type="dxa" w:w="305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公开文档将成果、作者、机构和主题作为关联实体，并提供计数、机构分析和纠错说明</w:t>
            </w:r>
          </w:p>
        </w:tc>
        <w:tc>
          <w:tcPr>
            <w:tcW w:type="dxa" w:w="25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检索、机构分析和信息修正可共享同一套业务对象</w:t>
            </w:r>
          </w:p>
        </w:tc>
        <w:tc>
          <w:tcPr>
            <w:tcW w:type="dxa" w:w="16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hyperlink r:id="rId26">
              <w:r>
                <w:rPr>
                  <w:rStyle w:val="Hyperlink"/>
                  <w:rFonts w:hint="eastAsia"/>
                </w:rPr>
                <w:t xml:space="preserve">数据说明</w:t>
              </w:r>
            </w:hyperlink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hyperlink r:id="rId27">
              <w:r>
                <w:rPr>
                  <w:rStyle w:val="Hyperlink"/>
                  <w:rFonts w:hint="eastAsia"/>
                </w:rPr>
                <w:t xml:space="preserve">使用指南</w:t>
              </w:r>
            </w:hyperlink>
          </w:p>
        </w:tc>
      </w:tr>
      <w:tr>
        <w:trPr/>
        <w:tc>
          <w:tcPr>
            <w:tcW w:type="dxa" w:w="231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DBLP</w:t>
            </w:r>
          </w:p>
        </w:tc>
        <w:tc>
          <w:tcPr>
            <w:tcW w:type="dxa" w:w="305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以计算机学术书目信息为中心组织资料，并提供开放元数据下载</w:t>
            </w:r>
          </w:p>
        </w:tc>
        <w:tc>
          <w:tcPr>
            <w:tcW w:type="dxa" w:w="25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聚焦领域可以降低一期整理和核验复杂度</w:t>
            </w:r>
          </w:p>
        </w:tc>
        <w:tc>
          <w:tcPr>
            <w:tcW w:type="dxa" w:w="16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hyperlink r:id="rId28">
              <w:r>
                <w:rPr>
                  <w:rStyle w:val="Hyperlink"/>
                  <w:rFonts w:hint="eastAsia"/>
                </w:rPr>
                <w:t xml:space="preserve">官方站点</w:t>
              </w:r>
            </w:hyperlink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hyperlink r:id="rId29">
              <w:r>
                <w:rPr>
                  <w:rStyle w:val="Hyperlink"/>
                  <w:rFonts w:hint="eastAsia"/>
                </w:rPr>
                <w:t xml:space="preserve">下载说明</w:t>
              </w:r>
            </w:hyperlink>
          </w:p>
        </w:tc>
      </w:tr>
      <w:tr>
        <w:trPr/>
        <w:tc>
          <w:tcPr>
            <w:tcW w:type="dxa" w:w="231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ORCID</w:t>
            </w:r>
          </w:p>
        </w:tc>
        <w:tc>
          <w:tcPr>
            <w:tcW w:type="dxa" w:w="305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官方帮助说明多种成果添加方式，包括来自其他系统的导入</w:t>
            </w:r>
          </w:p>
        </w:tc>
        <w:tc>
          <w:tcPr>
            <w:tcW w:type="dxa" w:w="25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个人资料维护可复用既有成果，减少完全手工重建</w:t>
            </w:r>
          </w:p>
        </w:tc>
        <w:tc>
          <w:tcPr>
            <w:tcW w:type="dxa" w:w="16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hyperlink r:id="rId30">
              <w:r>
                <w:rPr>
                  <w:rStyle w:val="Hyperlink"/>
                  <w:rFonts w:hint="eastAsia"/>
                </w:rPr>
                <w:t xml:space="preserve">成果添加说明</w:t>
              </w:r>
            </w:hyperlink>
          </w:p>
        </w:tc>
      </w:tr>
    </w:tbl>
    <w:bookmarkStart w:id="32" w:name="平台功能比较与可借鉴做法"/>
    <w:p>
      <w:pPr>
        <w:pStyle w:val="Heading4"/>
        <w:keepNext/>
        <w:widowControl/>
        <w:spacing w:after="100" w:line="288" w:lineRule="auto" w:before="200"/>
      </w:pPr>
      <w:r>
        <w:rPr>
          <w:rFonts w:hint="eastAsia"/>
        </w:rPr>
        <w:t>平台功能比较与可借鉴做法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以下比较用于提取项目可借鉴的做法，不涉及产品价格、免费额度或市场规模。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614"/>
        <w:gridCol w:w="2694"/>
        <w:gridCol w:w="3330"/>
      </w:tblGrid>
      <w:tr>
        <w:trPr>
          <w:tblHeader w:val="on"/>
          <w:tblHeader/>
        </w:trPr>
        <w:tc>
          <w:tcPr>
            <w:tcW w:type="dxa" w:w="361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参考对象</w:t>
            </w:r>
          </w:p>
        </w:tc>
        <w:tc>
          <w:tcPr>
            <w:tcW w:type="dxa" w:w="269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保留的分析主题</w:t>
            </w:r>
          </w:p>
        </w:tc>
        <w:tc>
          <w:tcPr>
            <w:tcW w:type="dxa" w:w="333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转化到本项目的能力与边界</w:t>
            </w:r>
          </w:p>
        </w:tc>
      </w:tr>
      <w:tr>
        <w:trPr/>
        <w:tc>
          <w:tcPr>
            <w:tcW w:type="dxa" w:w="361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ResearchGate</w:t>
            </w:r>
          </w:p>
        </w:tc>
        <w:tc>
          <w:tcPr>
            <w:tcW w:type="dxa" w:w="269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学术分享、成果归属、作者维护</w:t>
            </w:r>
          </w:p>
        </w:tc>
        <w:tc>
          <w:tcPr>
            <w:tcW w:type="dxa" w:w="333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认领与公开分享衔接；社交与商业运营后置</w:t>
            </w:r>
          </w:p>
        </w:tc>
      </w:tr>
      <w:tr>
        <w:trPr/>
        <w:tc>
          <w:tcPr>
            <w:tcW w:type="dxa" w:w="361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ORCID</w:t>
            </w:r>
          </w:p>
        </w:tc>
        <w:tc>
          <w:tcPr>
            <w:tcW w:type="dxa" w:w="269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持久人员标识与身份关联</w:t>
            </w:r>
          </w:p>
        </w:tc>
        <w:tc>
          <w:tcPr>
            <w:tcW w:type="dxa" w:w="333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区分标识格式、来源关联和申请人控制证据</w:t>
            </w:r>
          </w:p>
        </w:tc>
      </w:tr>
      <w:tr>
        <w:trPr/>
        <w:tc>
          <w:tcPr>
            <w:tcW w:type="dxa" w:w="361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Publons / Web of Science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学者档案</w:t>
            </w:r>
          </w:p>
        </w:tc>
        <w:tc>
          <w:tcPr>
            <w:tcW w:type="dxa" w:w="269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重复人物记录和履历组织</w:t>
            </w:r>
          </w:p>
        </w:tc>
        <w:tc>
          <w:tcPr>
            <w:tcW w:type="dxa" w:w="333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人物合并需依据；审稿等服务成果暂不扩展为第五类</w:t>
            </w:r>
          </w:p>
        </w:tc>
      </w:tr>
      <w:tr>
        <w:trPr/>
        <w:tc>
          <w:tcPr>
            <w:tcW w:type="dxa" w:w="361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Google Scholar</w:t>
            </w:r>
          </w:p>
        </w:tc>
        <w:tc>
          <w:tcPr>
            <w:tcW w:type="dxa" w:w="269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人物主页、成果修正、查询与引用利用</w:t>
            </w:r>
          </w:p>
        </w:tc>
        <w:tc>
          <w:tcPr>
            <w:tcW w:type="dxa" w:w="333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候选门户、人工纠错、查询连续性与引用导出</w:t>
            </w:r>
          </w:p>
        </w:tc>
      </w:tr>
      <w:tr>
        <w:trPr/>
        <w:tc>
          <w:tcPr>
            <w:tcW w:type="dxa" w:w="361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DBLP</w:t>
            </w:r>
          </w:p>
        </w:tc>
        <w:tc>
          <w:tcPr>
            <w:tcW w:type="dxa" w:w="269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计算机领域书目、作者区分</w:t>
            </w:r>
          </w:p>
        </w:tc>
        <w:tc>
          <w:tcPr>
            <w:tcW w:type="dxa" w:w="333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计算机领域补充来源候选；来源人物不能直接当平台账号</w:t>
            </w:r>
          </w:p>
        </w:tc>
      </w:tr>
      <w:tr>
        <w:trPr/>
        <w:tc>
          <w:tcPr>
            <w:tcW w:type="dxa" w:w="361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知网学者与机构库</w:t>
            </w:r>
          </w:p>
        </w:tc>
        <w:tc>
          <w:tcPr>
            <w:tcW w:type="dxa" w:w="269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中文成果与机构展示</w:t>
            </w:r>
          </w:p>
        </w:tc>
        <w:tc>
          <w:tcPr>
            <w:tcW w:type="dxa" w:w="333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借鉴界面任务；不据产品可浏览性推导采集授权</w:t>
            </w:r>
          </w:p>
        </w:tc>
      </w:tr>
      <w:tr>
        <w:trPr/>
        <w:tc>
          <w:tcPr>
            <w:tcW w:type="dxa" w:w="361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万方学者</w:t>
            </w:r>
          </w:p>
        </w:tc>
        <w:tc>
          <w:tcPr>
            <w:tcW w:type="dxa" w:w="269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多类成果及机构视角</w:t>
            </w:r>
          </w:p>
        </w:tc>
        <w:tc>
          <w:tcPr>
            <w:tcW w:type="dxa" w:w="333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四类成果保留专属字段、角色和统计口径</w:t>
            </w:r>
          </w:p>
        </w:tc>
      </w:tr>
      <w:tr>
        <w:trPr/>
        <w:tc>
          <w:tcPr>
            <w:tcW w:type="dxa" w:w="361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百度学术</w:t>
            </w:r>
          </w:p>
        </w:tc>
        <w:tc>
          <w:tcPr>
            <w:tcW w:type="dxa" w:w="269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学者候选与研究线索</w:t>
            </w:r>
          </w:p>
        </w:tc>
        <w:tc>
          <w:tcPr>
            <w:tcW w:type="dxa" w:w="333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同名区分、领域和代表作辅助选择；自动推荐另作标识</w:t>
            </w:r>
          </w:p>
        </w:tc>
      </w:tr>
      <w:tr>
        <w:trPr/>
        <w:tc>
          <w:tcPr>
            <w:tcW w:type="dxa" w:w="361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Semantic Scholar</w:t>
            </w:r>
          </w:p>
        </w:tc>
        <w:tc>
          <w:tcPr>
            <w:tcW w:type="dxa" w:w="269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自动作者页、主页认领与纠错</w:t>
            </w:r>
          </w:p>
        </w:tc>
        <w:tc>
          <w:tcPr>
            <w:tcW w:type="dxa" w:w="333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自动聚合与管理授权分开，保留更正流程</w:t>
            </w:r>
          </w:p>
        </w:tc>
      </w:tr>
      <w:tr>
        <w:trPr/>
        <w:tc>
          <w:tcPr>
            <w:tcW w:type="dxa" w:w="361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OpenAlex</w:t>
            </w:r>
          </w:p>
        </w:tc>
        <w:tc>
          <w:tcPr>
            <w:tcW w:type="dxa" w:w="269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成果、人物、机构与主题关系</w:t>
            </w:r>
          </w:p>
        </w:tc>
        <w:tc>
          <w:tcPr>
            <w:tcW w:type="dxa" w:w="333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多实体建模、历史署名机构、外部主题映射和版本</w:t>
            </w:r>
          </w:p>
        </w:tc>
      </w:tr>
    </w:tbl>
    <w:p>
      <w:pPr>
        <w:pStyle w:val="BodyText"/>
        <w:widowControl/>
        <w:spacing w:after="100" w:line="288" w:lineRule="auto"/>
      </w:pPr>
      <w:r>
        <w:rPr>
          <w:rFonts w:hint="eastAsia"/>
        </w:rPr>
        <w:t>完整比较和参考链接见</w:t>
      </w:r>
      <w:hyperlink r:id="rId31">
        <w:r>
          <w:rPr>
            <w:rStyle w:val="Hyperlink"/>
            <w:rFonts w:hint="eastAsia"/>
          </w:rPr>
          <w:t xml:space="preserve">平台调研材料</w:t>
        </w:r>
      </w:hyperlink>
      <w:r>
        <w:t>。</w:t>
      </w:r>
    </w:p>
    <w:bookmarkEnd w:id="32"/>
    <w:bookmarkEnd w:id="33"/>
    <w:bookmarkStart w:id="34" w:name="对本项目的启示"/>
    <w:p>
      <w:pPr>
        <w:pStyle w:val="Heading3"/>
        <w:keepNext/>
        <w:widowControl/>
        <w:spacing w:after="100" w:line="288" w:lineRule="auto" w:before="200"/>
      </w:pPr>
      <w:r>
        <w:t xml:space="preserve">5.3 </w:t>
      </w:r>
      <w:r>
        <w:rPr>
          <w:rFonts w:hint="eastAsia"/>
        </w:rPr>
        <w:t>对本项目的启示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由上述机制可以提出三个产品判断。第一，个人门户应具有持续维护和反馈能力，不能仅是采集结果的静态页面。第二，自动关联提高资料组织效率，但需要允许修正，并解释关键归属的依据。第三，图表分析的基础是经过合理组织的成果和关系，不能先追求展示复杂度，再补数据解释。</w:t>
      </w:r>
    </w:p>
    <w:p>
      <w:pPr>
        <w:pStyle w:val="BodyText"/>
        <w:widowControl/>
        <w:spacing w:after="100" w:line="288" w:lineRule="auto"/>
      </w:pPr>
      <w:r>
        <w:rPr>
          <w:rFonts w:hint="eastAsia"/>
        </w:rPr>
        <w:t>这些结论属于对公开产品机制的归纳，不等同于证明目标用户更偏好某一种交互方案。具体页面布局、默认排序和操作文案仍可通过原型任务走查迭代。</w:t>
      </w:r>
    </w:p>
    <w:bookmarkEnd w:id="34"/>
    <w:bookmarkEnd w:id="35"/>
    <w:bookmarkStart w:id="55" w:name="数据条件与领域分类调查"/>
    <w:p>
      <w:pPr>
        <w:pStyle w:val="Heading2"/>
        <w:keepNext/>
        <w:widowControl/>
        <w:spacing w:after="100" w:line="288" w:lineRule="auto" w:before="200"/>
      </w:pPr>
      <w:r>
        <w:t xml:space="preserve">8. </w:t>
      </w:r>
      <w:r>
        <w:rPr>
          <w:rFonts w:hint="eastAsia"/>
        </w:rPr>
        <w:t>数据条件与领域分类调查</w:t>
      </w:r>
    </w:p>
    <w:bookmarkStart w:id="42" w:name="数据调查与业务目标的对应"/>
    <w:p>
      <w:pPr>
        <w:pStyle w:val="Heading3"/>
        <w:keepNext/>
        <w:widowControl/>
        <w:spacing w:after="100" w:line="288" w:lineRule="auto" w:before="200"/>
      </w:pPr>
      <w:r>
        <w:t xml:space="preserve">8.1 </w:t>
      </w:r>
      <w:r>
        <w:rPr>
          <w:rFonts w:hint="eastAsia"/>
        </w:rPr>
        <w:t>数据调查与业务目标的对应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数据源选择不能只看可获取数量，还需考察它能否支撑目标任务。论文题名足以形成简要目录，但不足以支持可靠的机构归属和合作分析；只有成果列表也不足以确认平台账号身份。因此，本节按业务用途评价数据条件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61"/>
        <w:gridCol w:w="2552"/>
        <w:gridCol w:w="4925"/>
      </w:tblGrid>
      <w:tr>
        <w:trPr>
          <w:tblHeader w:val="on"/>
          <w:tblHeader/>
        </w:trPr>
        <w:tc>
          <w:tcPr>
            <w:tcW w:type="dxa" w:w="21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数据来源</w:t>
            </w:r>
          </w:p>
        </w:tc>
        <w:tc>
          <w:tcPr>
            <w:tcW w:type="dxa" w:w="255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对业务的主要支撑</w:t>
            </w:r>
          </w:p>
        </w:tc>
        <w:tc>
          <w:tcPr>
            <w:tcW w:type="dxa" w:w="492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局限及本项目判断</w:t>
            </w:r>
          </w:p>
        </w:tc>
      </w:tr>
      <w:tr>
        <w:trPr/>
        <w:tc>
          <w:tcPr>
            <w:tcW w:type="dxa" w:w="21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Crossref</w:t>
            </w:r>
          </w:p>
        </w:tc>
        <w:tc>
          <w:tcPr>
            <w:tcW w:type="dxa" w:w="255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DOI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题录、出版来源及部分作者、引用等元数据</w:t>
            </w:r>
          </w:p>
        </w:tc>
        <w:tc>
          <w:tcPr>
            <w:tcW w:type="dxa" w:w="492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实验记录记载小样本支持标题查询和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ISSN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定向采集；不能依赖已停用的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color w:val="000000"/>
                <w:sz w:val="18"/>
              </w:rPr>
              <w:t>subject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分类，文章类型也不能单独保证是研究论文。详见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§8.4。</w:t>
            </w:r>
            <w:hyperlink r:id="rId36">
              <w:r>
                <w:rPr>
                  <w:rStyle w:val="Hyperlink"/>
                  <w:rFonts w:hint="eastAsia"/>
                </w:rPr>
                <w:t xml:space="preserve">官方文档</w:t>
              </w:r>
            </w:hyperlink>
          </w:p>
        </w:tc>
      </w:tr>
      <w:tr>
        <w:trPr/>
        <w:tc>
          <w:tcPr>
            <w:tcW w:type="dxa" w:w="21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OpenAlex</w:t>
            </w:r>
          </w:p>
        </w:tc>
        <w:tc>
          <w:tcPr>
            <w:tcW w:type="dxa" w:w="255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成果、作者、机构与主题之间的组织关系</w:t>
            </w:r>
          </w:p>
        </w:tc>
        <w:tc>
          <w:tcPr>
            <w:tcW w:type="dxa" w:w="492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可补充关联资料；消歧和映射仍需核对，不能视为本平台身份认证。</w:t>
            </w:r>
            <w:hyperlink r:id="rId26">
              <w:r>
                <w:rPr>
                  <w:rStyle w:val="Hyperlink"/>
                  <w:rFonts w:hint="eastAsia"/>
                </w:rPr>
                <w:t xml:space="preserve">数据说明</w:t>
              </w:r>
            </w:hyperlink>
          </w:p>
        </w:tc>
      </w:tr>
      <w:tr>
        <w:trPr/>
        <w:tc>
          <w:tcPr>
            <w:tcW w:type="dxa" w:w="21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DBLP</w:t>
            </w:r>
          </w:p>
        </w:tc>
        <w:tc>
          <w:tcPr>
            <w:tcW w:type="dxa" w:w="255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计算机领域成果和作者书目信息</w:t>
            </w:r>
          </w:p>
        </w:tc>
        <w:tc>
          <w:tcPr>
            <w:tcW w:type="dxa" w:w="492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适合领域样本与补充核对；不应推定具有完整机构、摘要或开放状态。</w:t>
            </w:r>
            <w:hyperlink r:id="rId29">
              <w:r>
                <w:rPr>
                  <w:rStyle w:val="Hyperlink"/>
                  <w:rFonts w:hint="eastAsia"/>
                </w:rPr>
                <w:t xml:space="preserve">下载说明</w:t>
              </w:r>
            </w:hyperlink>
          </w:p>
        </w:tc>
      </w:tr>
      <w:tr>
        <w:trPr/>
        <w:tc>
          <w:tcPr>
            <w:tcW w:type="dxa" w:w="21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Unpaywall</w:t>
            </w:r>
          </w:p>
        </w:tc>
        <w:tc>
          <w:tcPr>
            <w:tcW w:type="dxa" w:w="255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DOI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对应的开放获取状态与位置</w:t>
            </w:r>
          </w:p>
        </w:tc>
        <w:tc>
          <w:tcPr>
            <w:tcW w:type="dxa" w:w="492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支撑访问入口提示；查不到或查询失败时仍需区分含义。</w:t>
            </w:r>
            <w:hyperlink r:id="rId37">
              <w:r>
                <w:rPr>
                  <w:rStyle w:val="Hyperlink"/>
                  <w:rFonts w:hint="eastAsia"/>
                </w:rPr>
                <w:t xml:space="preserve">接口说明</w:t>
              </w:r>
            </w:hyperlink>
          </w:p>
        </w:tc>
      </w:tr>
      <w:tr>
        <w:trPr/>
        <w:tc>
          <w:tcPr>
            <w:tcW w:type="dxa" w:w="21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国家知识产权局公开服务</w:t>
            </w:r>
          </w:p>
        </w:tc>
        <w:tc>
          <w:tcPr>
            <w:tcW w:type="dxa" w:w="255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专利名称、专利号、权利人与发明人线索</w:t>
            </w:r>
          </w:p>
        </w:tc>
        <w:tc>
          <w:tcPr>
            <w:tcW w:type="dxa" w:w="492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实验记录记载主检索返回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HTTP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412；公开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PDF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名单取得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10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条，但未提供申请／授权日期，不能进入日期完整样本。详见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§8.5。</w:t>
            </w:r>
            <w:hyperlink r:id="rId38">
              <w:r>
                <w:rPr>
                  <w:rStyle w:val="Hyperlink"/>
                  <w:rFonts w:hint="eastAsia"/>
                </w:rPr>
                <w:t xml:space="preserve">官方介绍</w:t>
              </w:r>
            </w:hyperlink>
          </w:p>
        </w:tc>
      </w:tr>
      <w:tr>
        <w:trPr/>
        <w:tc>
          <w:tcPr>
            <w:tcW w:type="dxa" w:w="21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NSFC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公开服务</w:t>
            </w:r>
          </w:p>
        </w:tc>
        <w:tc>
          <w:tcPr>
            <w:tcW w:type="dxa" w:w="255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科研项目与负责人资料</w:t>
            </w:r>
          </w:p>
        </w:tc>
        <w:tc>
          <w:tcPr>
            <w:tcW w:type="dxa" w:w="492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门户首页只返回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JavaScript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应用外壳；官网资助清单取得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10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条项目及资助年度，尚未打通通用项目检索接口。详见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§8.5。</w:t>
            </w:r>
            <w:hyperlink r:id="rId39">
              <w:r>
                <w:rPr>
                  <w:rStyle w:val="Hyperlink"/>
                  <w:rFonts w:hint="eastAsia"/>
                </w:rPr>
                <w:t xml:space="preserve">公开清单</w:t>
              </w:r>
            </w:hyperlink>
          </w:p>
        </w:tc>
      </w:tr>
      <w:tr>
        <w:trPr/>
        <w:tc>
          <w:tcPr>
            <w:tcW w:type="dxa" w:w="21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科技部奖励目录</w:t>
            </w:r>
          </w:p>
        </w:tc>
        <w:tc>
          <w:tcPr>
            <w:tcW w:type="dxa" w:w="255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获奖项目、完成人、单位、等级和年度</w:t>
            </w:r>
          </w:p>
        </w:tc>
        <w:tc>
          <w:tcPr>
            <w:tcW w:type="dxa" w:w="492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原引用页面成功取得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10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条，奖励年度与网页发布日期分别保留。详见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§8.5。</w:t>
            </w:r>
            <w:hyperlink r:id="rId40">
              <w:r>
                <w:rPr>
                  <w:rStyle w:val="Hyperlink"/>
                  <w:rFonts w:hint="eastAsia"/>
                </w:rPr>
                <w:t xml:space="preserve">获奖目录</w:t>
              </w:r>
            </w:hyperlink>
          </w:p>
        </w:tc>
      </w:tr>
      <w:tr>
        <w:trPr/>
        <w:tc>
          <w:tcPr>
            <w:tcW w:type="dxa" w:w="21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洛阳师范学院科研处（本版新增补充）</w:t>
            </w:r>
          </w:p>
        </w:tc>
        <w:tc>
          <w:tcPr>
            <w:tcW w:type="dxa" w:w="255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专利名称、发明人、申请日与授权公告日</w:t>
            </w:r>
          </w:p>
        </w:tc>
        <w:tc>
          <w:tcPr>
            <w:tcW w:type="dxa" w:w="492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成功取得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10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条日期完整样本；不代表已核验当前专利法律状态，也不是知识产权局主检索的返回结果。</w:t>
            </w:r>
            <w:hyperlink r:id="rId41">
              <w:r>
                <w:rPr>
                  <w:rStyle w:val="Hyperlink"/>
                  <w:rFonts w:hint="eastAsia"/>
                </w:rPr>
                <w:t xml:space="preserve">公开清单</w:t>
              </w:r>
            </w:hyperlink>
          </w:p>
        </w:tc>
      </w:tr>
    </w:tbl>
    <w:bookmarkEnd w:id="42"/>
    <w:bookmarkStart w:id="43" w:name="数据取得方式的取舍"/>
    <w:p>
      <w:pPr>
        <w:pStyle w:val="Heading3"/>
        <w:keepNext/>
        <w:widowControl/>
        <w:spacing w:after="100" w:line="288" w:lineRule="auto" w:before="200"/>
      </w:pPr>
      <w:r>
        <w:t xml:space="preserve">8.2 </w:t>
      </w:r>
      <w:r>
        <w:rPr>
          <w:rFonts w:hint="eastAsia"/>
        </w:rPr>
        <w:t>数据取得方式的取舍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建议优先使用官方接口、开放数据集和允许的结构化导出；对少量非论文资料，可在符合来源使用要求的前提下整理样本。公开网页存在只能证明有资料入口，不能单独证明允许任意批量抓取。</w:t>
      </w:r>
    </w:p>
    <w:p>
      <w:pPr>
        <w:pStyle w:val="BodyText"/>
        <w:widowControl/>
        <w:spacing w:after="100" w:line="288" w:lineRule="auto"/>
      </w:pPr>
      <w:r>
        <w:rPr>
          <w:rFonts w:hint="eastAsia"/>
        </w:rPr>
        <w:t>课程任务书允许使用公开数据集或模拟数据支撑运行演示。[A1]</w:t>
      </w:r>
      <w:r>
        <w:t xml:space="preserve"> </w:t>
      </w:r>
      <w:r>
        <w:rPr>
          <w:rFonts w:hint="eastAsia"/>
        </w:rPr>
        <w:t>非论文实验样本需取得原件并复核后用于页面与字段验证；尚未覆盖的异常场景采用明确标注的模拟记录。模拟成果不纳入真实机构比较。</w:t>
      </w:r>
    </w:p>
    <w:bookmarkEnd w:id="43"/>
    <w:bookmarkStart w:id="45" w:name="分类方式的比较"/>
    <w:p>
      <w:pPr>
        <w:pStyle w:val="Heading3"/>
        <w:keepNext/>
        <w:widowControl/>
        <w:spacing w:after="100" w:line="288" w:lineRule="auto" w:before="200"/>
      </w:pPr>
      <w:r>
        <w:t xml:space="preserve">8.3 </w:t>
      </w:r>
      <w:r>
        <w:rPr>
          <w:rFonts w:hint="eastAsia"/>
        </w:rPr>
        <w:t>分类方式的比较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70"/>
        <w:gridCol w:w="3324"/>
        <w:gridCol w:w="4044"/>
      </w:tblGrid>
      <w:tr>
        <w:trPr>
          <w:tblHeader w:val="on"/>
          <w:tblHeader/>
        </w:trPr>
        <w:tc>
          <w:tcPr>
            <w:tcW w:type="dxa" w:w="227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方式</w:t>
            </w:r>
          </w:p>
        </w:tc>
        <w:tc>
          <w:tcPr>
            <w:tcW w:type="dxa" w:w="33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优点</w:t>
            </w:r>
          </w:p>
        </w:tc>
        <w:tc>
          <w:tcPr>
            <w:tcW w:type="dxa" w:w="404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需要解决的问题</w:t>
            </w:r>
          </w:p>
        </w:tc>
      </w:tr>
      <w:tr>
        <w:trPr/>
        <w:tc>
          <w:tcPr>
            <w:tcW w:type="dxa" w:w="227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规范学科目录</w:t>
            </w:r>
          </w:p>
        </w:tc>
        <w:tc>
          <w:tcPr>
            <w:tcW w:type="dxa" w:w="33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便于建立稳定导航和跨类型比较</w:t>
            </w:r>
          </w:p>
        </w:tc>
        <w:tc>
          <w:tcPr>
            <w:tcW w:type="dxa" w:w="404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需明确采用版本，与来源主题并非一一对应</w:t>
            </w:r>
          </w:p>
        </w:tc>
      </w:tr>
      <w:tr>
        <w:trPr/>
        <w:tc>
          <w:tcPr>
            <w:tcW w:type="dxa" w:w="227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数据源主题标签</w:t>
            </w:r>
          </w:p>
        </w:tc>
        <w:tc>
          <w:tcPr>
            <w:tcW w:type="dxa" w:w="33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能保留原始资料的主题信息</w:t>
            </w:r>
          </w:p>
        </w:tc>
        <w:tc>
          <w:tcPr>
            <w:tcW w:type="dxa" w:w="404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来源间粒度和命名不同，部分成果缺失</w:t>
            </w:r>
          </w:p>
        </w:tc>
      </w:tr>
      <w:tr>
        <w:trPr/>
        <w:tc>
          <w:tcPr>
            <w:tcW w:type="dxa" w:w="227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人工标签</w:t>
            </w:r>
          </w:p>
        </w:tc>
        <w:tc>
          <w:tcPr>
            <w:tcW w:type="dxa" w:w="33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能补充细分主题和个人说明</w:t>
            </w:r>
          </w:p>
        </w:tc>
        <w:tc>
          <w:tcPr>
            <w:tcW w:type="dxa" w:w="404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一致性依赖维护规则，不宜直接当作权威分类</w:t>
            </w:r>
          </w:p>
        </w:tc>
      </w:tr>
    </w:tbl>
    <w:p>
      <w:pPr>
        <w:pStyle w:val="BodyText"/>
        <w:widowControl/>
        <w:spacing w:after="100" w:line="288" w:lineRule="auto"/>
      </w:pPr>
      <w:r>
        <w:rPr>
          <w:rFonts w:hint="eastAsia"/>
        </w:rPr>
        <w:t>本报告建议规范学科目录和来源标签并行使用：前者形成平台统一观察视角，后者保留具体主题信息。可参考教育部公开的研究生学科目录材料组织规范学科层；采用的目录版本和映射办法在需求阶段明确。</w:t>
      </w:r>
      <w:hyperlink r:id="rId44">
        <w:r>
          <w:rPr>
            <w:rStyle w:val="Hyperlink"/>
            <w:rFonts w:hint="eastAsia"/>
          </w:rPr>
          <w:t xml:space="preserve">教育部相关材料</w:t>
        </w:r>
      </w:hyperlink>
    </w:p>
    <w:p>
      <w:pPr>
        <w:pStyle w:val="BodyText"/>
        <w:widowControl/>
        <w:spacing w:after="100" w:line="288" w:lineRule="auto"/>
      </w:pPr>
      <w:r>
        <w:rPr>
          <w:rFonts w:hint="eastAsia"/>
        </w:rPr>
        <w:t>“来源标签”只适用于确实提供标签且含义可核验的数据源，不能据此默认</w:t>
      </w:r>
      <w:r>
        <w:t xml:space="preserve"> Crossref </w:t>
      </w:r>
      <w:r>
        <w:rPr>
          <w:rFonts w:hint="eastAsia"/>
        </w:rPr>
        <w:t>仍提供有效学科分类。指定期刊清单属于采集范围，标题查询属于相关性搜索，两者均不能自动变成论文的已确认学科。[E1]</w:t>
      </w:r>
    </w:p>
    <w:p>
      <w:pPr>
        <w:pStyle w:val="BodyText"/>
        <w:widowControl/>
        <w:spacing w:after="100" w:line="288" w:lineRule="auto"/>
      </w:pPr>
      <w:r>
        <w:rPr>
          <w:rFonts w:hint="eastAsia"/>
        </w:rPr>
        <w:t>不能映射的资料保留未分类状态；多学科成果允许从不同领域被发现，统计时解释其多重归属。这样既保留跨学科特点，也避免把分类缺失伪装成明确结论。</w:t>
      </w:r>
    </w:p>
    <w:bookmarkEnd w:id="45"/>
    <w:bookmarkStart w:id="49" w:name="实验一crossref-能否按指定学科采集"/>
    <w:p>
      <w:pPr>
        <w:pStyle w:val="Heading3"/>
        <w:keepNext/>
        <w:widowControl/>
        <w:spacing w:after="100" w:line="288" w:lineRule="auto" w:before="200"/>
      </w:pPr>
      <w:r>
        <w:t xml:space="preserve">8.4 </w:t>
      </w:r>
      <w:r>
        <w:rPr>
          <w:rFonts w:hint="eastAsia"/>
        </w:rPr>
        <w:t>实验一：Crossref</w:t>
      </w:r>
      <w:r>
        <w:t xml:space="preserve"> </w:t>
      </w:r>
      <w:r>
        <w:rPr>
          <w:rFonts w:hint="eastAsia"/>
        </w:rPr>
        <w:t>能否按指定学科采集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实验记录来源为</w:t>
      </w:r>
      <w:r>
        <w:t xml:space="preserve"> </w:t>
      </w:r>
      <w:r>
        <w:rPr>
          <w:rFonts w:hint="eastAsia"/>
        </w:rPr>
        <w:t>E1，材料状态见</w:t>
      </w:r>
      <w:r>
        <w:t xml:space="preserve"> §1.3。</w:t>
      </w:r>
    </w:p>
    <w:p>
      <w:pPr>
        <w:pStyle w:val="BodyText"/>
        <w:widowControl/>
        <w:spacing w:after="100" w:line="288" w:lineRule="auto"/>
      </w:pPr>
      <w:r>
        <w:rPr>
          <w:rFonts w:hint="eastAsia"/>
          <w:b/>
          <w:bCs/>
        </w:rPr>
        <w:t>问题与方法。</w:t>
      </w:r>
      <w:r>
        <w:t xml:space="preserve"> </w:t>
      </w:r>
      <w:r>
        <w:rPr>
          <w:rFonts w:hint="eastAsia"/>
        </w:rPr>
        <w:t>以软件工程为例，比较关键词相关性检索与期刊范围筛选。请求限定为期刊文章，出版日期为</w:t>
      </w:r>
      <w:r>
        <w:t xml:space="preserve"> 2024-01-01 </w:t>
      </w:r>
      <w:r>
        <w:rPr>
          <w:rFonts w:hint="eastAsia"/>
        </w:rPr>
        <w:t>至</w:t>
      </w:r>
      <w:r>
        <w:t xml:space="preserve"> </w:t>
      </w:r>
      <w:r>
        <w:rPr>
          <w:rFonts w:hint="eastAsia"/>
        </w:rPr>
        <w:t>2026-10-01；每轮关键词组与期刊组各取</w:t>
      </w:r>
      <w:r>
        <w:t xml:space="preserve"> 5 </w:t>
      </w:r>
      <w:r>
        <w:rPr>
          <w:rFonts w:hint="eastAsia"/>
        </w:rPr>
        <w:t>条，保留完整</w:t>
      </w:r>
      <w:r>
        <w:t xml:space="preserve"> </w:t>
      </w:r>
      <w:r>
        <w:rPr>
          <w:rFonts w:hint="eastAsia"/>
        </w:rPr>
        <w:t>JSON，没有用字段裁剪造成学科字段缺失。此处获取的是元数据，不是论文</w:t>
      </w:r>
      <w:r>
        <w:t xml:space="preserve"> PDF。[E1]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775"/>
        <w:gridCol w:w="3775"/>
        <w:gridCol w:w="3088"/>
      </w:tblGrid>
      <w:tr>
        <w:trPr>
          <w:tblHeader w:val="on"/>
          <w:tblHeader/>
        </w:trPr>
        <w:tc>
          <w:tcPr>
            <w:tcW w:type="dxa" w:w="277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检查</w:t>
            </w:r>
          </w:p>
        </w:tc>
        <w:tc>
          <w:tcPr>
            <w:tcW w:type="dxa" w:w="377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实验记录中的观察</w:t>
            </w:r>
          </w:p>
        </w:tc>
        <w:tc>
          <w:tcPr>
            <w:tcW w:type="dxa" w:w="30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可支持的结论</w:t>
            </w:r>
          </w:p>
        </w:tc>
      </w:tr>
      <w:tr>
        <w:trPr/>
        <w:tc>
          <w:tcPr>
            <w:tcW w:type="dxa" w:w="277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Style w:val="VerbatimChar"/>
                <w:rFonts w:ascii="宋体" w:hAnsi="宋体" w:eastAsia="宋体"/>
                <w:color w:val="000000"/>
                <w:sz w:val="18"/>
              </w:rPr>
              <w:t>subject:Software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过滤探测</w:t>
            </w:r>
          </w:p>
        </w:tc>
        <w:tc>
          <w:tcPr>
            <w:tcW w:type="dxa" w:w="377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HTTP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400，过滤器不可用</w:t>
            </w:r>
          </w:p>
        </w:tc>
        <w:tc>
          <w:tcPr>
            <w:tcW w:type="dxa" w:w="30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不是合法学科过滤方式，不能解释成该领域无论文</w:t>
            </w:r>
          </w:p>
        </w:tc>
      </w:tr>
      <w:tr>
        <w:trPr/>
        <w:tc>
          <w:tcPr>
            <w:tcW w:type="dxa" w:w="277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Style w:val="VerbatimChar"/>
                <w:rFonts w:ascii="宋体" w:hAnsi="宋体" w:eastAsia="宋体"/>
                <w:color w:val="000000"/>
                <w:sz w:val="18"/>
              </w:rPr>
              <w:t>category-name:Software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旧分类探测</w:t>
            </w:r>
          </w:p>
        </w:tc>
        <w:tc>
          <w:tcPr>
            <w:tcW w:type="dxa" w:w="377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HTTP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200，结果总数为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0</w:t>
            </w:r>
          </w:p>
        </w:tc>
        <w:tc>
          <w:tcPr>
            <w:tcW w:type="dxa" w:w="30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结合官方停用说明解释，不能据此推断全库没有软件论文</w:t>
            </w:r>
          </w:p>
        </w:tc>
      </w:tr>
      <w:tr>
        <w:trPr/>
        <w:tc>
          <w:tcPr>
            <w:tcW w:type="dxa" w:w="277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第一轮书目关键词检索</w:t>
            </w:r>
          </w:p>
        </w:tc>
        <w:tc>
          <w:tcPr>
            <w:tcW w:type="dxa" w:w="377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5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条均来自同一刊物，其中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4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条为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Editorial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Board，仍被标作期刊文章</w:t>
            </w:r>
          </w:p>
        </w:tc>
        <w:tc>
          <w:tcPr>
            <w:tcW w:type="dxa" w:w="30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书目命中可能来自刊物名称；上游文章类型不足以保证文献体裁</w:t>
            </w:r>
          </w:p>
        </w:tc>
      </w:tr>
      <w:tr>
        <w:trPr/>
        <w:tc>
          <w:tcPr>
            <w:tcW w:type="dxa" w:w="277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第二轮标题关键词检索</w:t>
            </w:r>
          </w:p>
        </w:tc>
        <w:tc>
          <w:tcPr>
            <w:tcW w:type="dxa" w:w="377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5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条来自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5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种刊物，包含化学物理期刊</w:t>
            </w:r>
          </w:p>
        </w:tc>
        <w:tc>
          <w:tcPr>
            <w:tcW w:type="dxa" w:w="30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可发现主题相关候选，但不能仅凭关键词或刊物名称确认逐篇学科</w:t>
            </w:r>
          </w:p>
        </w:tc>
      </w:tr>
      <w:tr>
        <w:trPr/>
        <w:tc>
          <w:tcPr>
            <w:tcW w:type="dxa" w:w="277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限定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ISSN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color w:val="000000"/>
                <w:sz w:val="18"/>
              </w:rPr>
              <w:t>0098-5589</w:t>
            </w:r>
          </w:p>
        </w:tc>
        <w:tc>
          <w:tcPr>
            <w:tcW w:type="dxa" w:w="377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5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条全部来自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IEEE Transactions on Software Engineering</w:t>
            </w:r>
          </w:p>
        </w:tc>
        <w:tc>
          <w:tcPr>
            <w:tcW w:type="dxa" w:w="30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可以准确限定该期刊，不必进行全学科混合采集</w:t>
            </w:r>
          </w:p>
        </w:tc>
      </w:tr>
      <w:tr>
        <w:trPr/>
        <w:tc>
          <w:tcPr>
            <w:tcW w:type="dxa" w:w="277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第二轮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10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个不同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DOI</w:t>
            </w:r>
          </w:p>
        </w:tc>
        <w:tc>
          <w:tcPr>
            <w:tcW w:type="dxa" w:w="377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全部缺失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color w:val="000000"/>
                <w:sz w:val="18"/>
              </w:rPr>
              <w:t>subject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，4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条有摘要、6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条无摘要</w:t>
            </w:r>
          </w:p>
        </w:tc>
        <w:tc>
          <w:tcPr>
            <w:tcW w:type="dxa" w:w="30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本批不能直接生成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Crossref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学科标签，也不能假设摘要始终可得</w:t>
            </w:r>
          </w:p>
        </w:tc>
      </w:tr>
    </w:tbl>
    <w:p>
      <w:pPr>
        <w:pStyle w:val="BodyText"/>
        <w:widowControl/>
        <w:spacing w:after="100" w:line="288" w:lineRule="auto"/>
      </w:pPr>
      <w:r>
        <w:t xml:space="preserve">Crossref </w:t>
      </w:r>
      <w:r>
        <w:rPr>
          <w:rFonts w:hint="eastAsia"/>
        </w:rPr>
        <w:t>官方说明，原分类来自期刊／会议录层面的</w:t>
      </w:r>
      <w:r>
        <w:t xml:space="preserve"> ASJC </w:t>
      </w:r>
      <w:r>
        <w:rPr>
          <w:rFonts w:hint="eastAsia"/>
        </w:rPr>
        <w:t>数据，并非逐篇文章分类；因覆盖和可靠性问题已停用。官方工作人员确认停用日期为</w:t>
      </w:r>
      <w:r>
        <w:t xml:space="preserve"> 2024-04-23。</w:t>
      </w:r>
      <w:hyperlink r:id="rId46">
        <w:r>
          <w:rPr>
            <w:rStyle w:val="Hyperlink"/>
            <w:rFonts w:hint="eastAsia"/>
          </w:rPr>
          <w:t xml:space="preserve">停用公告</w:t>
        </w:r>
      </w:hyperlink>
      <w:r>
        <w:t>、</w:t>
      </w:r>
      <w:hyperlink r:id="rId47">
        <w:r>
          <w:rPr>
            <w:rStyle w:val="Hyperlink"/>
            <w:rFonts w:hint="eastAsia"/>
          </w:rPr>
          <w:t xml:space="preserve">日期确认</w:t>
        </w:r>
      </w:hyperlink>
    </w:p>
    <w:p>
      <w:pPr>
        <w:pStyle w:val="BodyText"/>
        <w:widowControl/>
        <w:spacing w:after="100" w:line="288" w:lineRule="auto"/>
      </w:pPr>
      <w:r>
        <w:rPr>
          <w:rFonts w:hint="eastAsia"/>
          <w:b/>
          <w:bCs/>
        </w:rPr>
        <w:t>判断。</w:t>
      </w:r>
      <w:r>
        <w:t xml:space="preserve"> </w:t>
      </w:r>
      <w:r>
        <w:rPr>
          <w:rFonts w:hint="eastAsia"/>
        </w:rPr>
        <w:t>可以围绕领域维护期刊</w:t>
      </w:r>
      <w:r>
        <w:t xml:space="preserve"> ISSN </w:t>
      </w:r>
      <w:r>
        <w:rPr>
          <w:rFonts w:hint="eastAsia"/>
        </w:rPr>
        <w:t>清单，再用关键词发现补充候选；不应承诺“直接按</w:t>
      </w:r>
      <w:r>
        <w:t xml:space="preserve"> Crossref </w:t>
      </w:r>
      <w:r>
        <w:rPr>
          <w:rFonts w:hint="eastAsia"/>
        </w:rPr>
        <w:t>学科标签采到该学科全部论文”。学科确认需要平台维护的规则、其他确有分类的来源或人工复核，并保留来源与版本。第一轮与第二轮各输出</w:t>
      </w:r>
      <w:r>
        <w:t xml:space="preserve"> 10 </w:t>
      </w:r>
      <w:r>
        <w:rPr>
          <w:rFonts w:hint="eastAsia"/>
        </w:rPr>
        <w:t>条，但期刊组重复，跨两轮为</w:t>
      </w:r>
      <w:r>
        <w:t xml:space="preserve"> 15 </w:t>
      </w:r>
      <w:r>
        <w:rPr>
          <w:rFonts w:hint="eastAsia"/>
        </w:rPr>
        <w:t>个不同</w:t>
      </w:r>
      <w:r>
        <w:t xml:space="preserve"> </w:t>
      </w:r>
      <w:r>
        <w:rPr>
          <w:rFonts w:hint="eastAsia"/>
        </w:rPr>
        <w:t>DOI，不能算成</w:t>
      </w:r>
      <w:r>
        <w:t xml:space="preserve"> 20 </w:t>
      </w:r>
      <w:r>
        <w:rPr>
          <w:rFonts w:hint="eastAsia"/>
        </w:rPr>
        <w:t>篇不同论文。样本未逐篇核验全文和体裁，不报告分类准确率、召回率或研究论文占比。[E1]</w:t>
      </w:r>
    </w:p>
    <w:p>
      <w:pPr>
        <w:pStyle w:val="BodyText"/>
        <w:widowControl/>
        <w:spacing w:after="100" w:line="288" w:lineRule="auto"/>
      </w:pPr>
      <w:r>
        <w:rPr>
          <w:rFonts w:hint="eastAsia"/>
        </w:rPr>
        <w:t>复核需要实验说明、两轮结果、原始响应及采集脚本，文件清单见</w:t>
      </w:r>
      <w:hyperlink r:id="rId48">
        <w:r>
          <w:rPr>
            <w:rStyle w:val="Hyperlink"/>
            <w:rFonts w:hint="eastAsia"/>
          </w:rPr>
          <w:t xml:space="preserve">文档修订说明</w:t>
        </w:r>
      </w:hyperlink>
      <w:r>
        <w:t>§4。</w:t>
      </w:r>
    </w:p>
    <w:bookmarkEnd w:id="49"/>
    <w:bookmarkStart w:id="50" w:name="实验二专利科研项目与获奖能否统一展示"/>
    <w:p>
      <w:pPr>
        <w:pStyle w:val="Heading3"/>
        <w:keepNext/>
        <w:widowControl/>
        <w:spacing w:after="100" w:line="288" w:lineRule="auto" w:before="200"/>
      </w:pPr>
      <w:r>
        <w:t xml:space="preserve">8.5 </w:t>
      </w:r>
      <w:r>
        <w:rPr>
          <w:rFonts w:hint="eastAsia"/>
        </w:rPr>
        <w:t>实验二：专利、科研项目与获奖能否统一展示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实验记录来源为</w:t>
      </w:r>
      <w:r>
        <w:t xml:space="preserve"> </w:t>
      </w:r>
      <w:r>
        <w:rPr>
          <w:rFonts w:hint="eastAsia"/>
        </w:rPr>
        <w:t>E2，材料状态见</w:t>
      </w:r>
      <w:r>
        <w:t xml:space="preserve"> §1.3。</w:t>
      </w:r>
    </w:p>
    <w:p>
      <w:pPr>
        <w:pStyle w:val="BodyText"/>
        <w:widowControl/>
        <w:spacing w:after="100" w:line="288" w:lineRule="auto"/>
      </w:pPr>
      <w:r>
        <w:rPr>
          <w:rFonts w:hint="eastAsia"/>
          <w:b/>
          <w:bCs/>
        </w:rPr>
        <w:t>问题与方法。</w:t>
      </w:r>
      <w:r>
        <w:t xml:space="preserve"> </w:t>
      </w:r>
      <w:r>
        <w:rPr>
          <w:rFonts w:hint="eastAsia"/>
        </w:rPr>
        <w:t>按实验记录，从知识产权局、基金委和科技部公开资料各取</w:t>
      </w:r>
      <w:r>
        <w:t xml:space="preserve"> 10 </w:t>
      </w:r>
      <w:r>
        <w:rPr>
          <w:rFonts w:hint="eastAsia"/>
        </w:rPr>
        <w:t>条，检查标题、相关人员与成果时间。人员分别指发明人、负责人和主要完成人；“科研成果”按任务书解释为科研项目，成果新闻和项目指南不计为立项记录。样本按清单顺序选取。[E2]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90"/>
        <w:gridCol w:w="897"/>
        <w:gridCol w:w="2173"/>
        <w:gridCol w:w="1987"/>
        <w:gridCol w:w="2290"/>
      </w:tblGrid>
      <w:tr>
        <w:trPr>
          <w:tblHeader w:val="on"/>
          <w:tblHeader/>
        </w:trPr>
        <w:tc>
          <w:tcPr>
            <w:tcW w:type="dxa" w:w="229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来源与样本</w:t>
            </w:r>
          </w:p>
        </w:tc>
        <w:tc>
          <w:tcPr>
            <w:tcW w:type="dxa" w:w="89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  <w:jc w:val="right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数量</w:t>
            </w:r>
          </w:p>
        </w:tc>
        <w:tc>
          <w:tcPr>
            <w:tcW w:type="dxa" w:w="217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标题／人员</w:t>
            </w:r>
          </w:p>
        </w:tc>
        <w:tc>
          <w:tcPr>
            <w:tcW w:type="dxa" w:w="198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成果时间</w:t>
            </w:r>
          </w:p>
        </w:tc>
        <w:tc>
          <w:tcPr>
            <w:tcW w:type="dxa" w:w="229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可用于展示的范围</w:t>
            </w:r>
          </w:p>
        </w:tc>
      </w:tr>
      <w:tr>
        <w:trPr/>
        <w:tc>
          <w:tcPr>
            <w:tcW w:type="dxa" w:w="229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知识产权局第二十五届专利金奖附件</w:t>
            </w:r>
          </w:p>
        </w:tc>
        <w:tc>
          <w:tcPr>
            <w:tcW w:type="dxa" w:w="89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  <w:jc w:val="right"/>
            </w:pPr>
            <w:r>
              <w:rPr>
                <w:rFonts w:ascii="宋体" w:hAnsi="宋体" w:eastAsia="宋体"/>
                <w:color w:val="000000"/>
                <w:sz w:val="18"/>
              </w:rPr>
              <w:t>10</w:t>
            </w:r>
          </w:p>
        </w:tc>
        <w:tc>
          <w:tcPr>
            <w:tcW w:type="dxa" w:w="217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专利名称、发明人完整，另有专利号和权利人</w:t>
            </w:r>
          </w:p>
        </w:tc>
        <w:tc>
          <w:tcPr>
            <w:tcW w:type="dxa" w:w="198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申请日、授权日均未提供</w:t>
            </w:r>
          </w:p>
        </w:tc>
        <w:tc>
          <w:tcPr>
            <w:tcW w:type="dxa" w:w="229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可留作待补资料；目录发布日不作授权日</w:t>
            </w:r>
          </w:p>
        </w:tc>
      </w:tr>
      <w:tr>
        <w:trPr/>
        <w:tc>
          <w:tcPr>
            <w:tcW w:type="dxa" w:w="229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NSFC 2019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年生命科学部重点项目清单</w:t>
            </w:r>
          </w:p>
        </w:tc>
        <w:tc>
          <w:tcPr>
            <w:tcW w:type="dxa" w:w="89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  <w:jc w:val="right"/>
            </w:pPr>
            <w:r>
              <w:rPr>
                <w:rFonts w:ascii="宋体" w:hAnsi="宋体" w:eastAsia="宋体"/>
                <w:color w:val="000000"/>
                <w:sz w:val="18"/>
              </w:rPr>
              <w:t>10</w:t>
            </w:r>
          </w:p>
        </w:tc>
        <w:tc>
          <w:tcPr>
            <w:tcW w:type="dxa" w:w="217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项目名称、负责人、依托单位</w:t>
            </w:r>
          </w:p>
        </w:tc>
        <w:tc>
          <w:tcPr>
            <w:tcW w:type="dxa" w:w="198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2019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资助年度；无具体起止日期</w:t>
            </w:r>
          </w:p>
        </w:tc>
        <w:tc>
          <w:tcPr>
            <w:tcW w:type="dxa" w:w="229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支持按年展示，科学部编号与项目批准号分别记录</w:t>
            </w:r>
          </w:p>
        </w:tc>
      </w:tr>
      <w:tr>
        <w:trPr/>
        <w:tc>
          <w:tcPr>
            <w:tcW w:type="dxa" w:w="229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科技部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2023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年度国家自然科学奖目录</w:t>
            </w:r>
          </w:p>
        </w:tc>
        <w:tc>
          <w:tcPr>
            <w:tcW w:type="dxa" w:w="89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  <w:jc w:val="right"/>
            </w:pPr>
            <w:r>
              <w:rPr>
                <w:rFonts w:ascii="宋体" w:hAnsi="宋体" w:eastAsia="宋体"/>
                <w:color w:val="000000"/>
                <w:sz w:val="18"/>
              </w:rPr>
              <w:t>10</w:t>
            </w:r>
          </w:p>
        </w:tc>
        <w:tc>
          <w:tcPr>
            <w:tcW w:type="dxa" w:w="217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项目名称、主要完成人及机构</w:t>
            </w:r>
          </w:p>
        </w:tc>
        <w:tc>
          <w:tcPr>
            <w:tcW w:type="dxa" w:w="198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2023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奖励年度</w:t>
            </w:r>
          </w:p>
        </w:tc>
        <w:tc>
          <w:tcPr>
            <w:tcW w:type="dxa" w:w="229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支持按奖励年度展示；提名者单列</w:t>
            </w:r>
          </w:p>
        </w:tc>
      </w:tr>
      <w:tr>
        <w:trPr/>
        <w:tc>
          <w:tcPr>
            <w:tcW w:type="dxa" w:w="229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洛阳师范学院专利授权清单（补充）</w:t>
            </w:r>
          </w:p>
        </w:tc>
        <w:tc>
          <w:tcPr>
            <w:tcW w:type="dxa" w:w="89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  <w:jc w:val="right"/>
            </w:pPr>
            <w:r>
              <w:rPr>
                <w:rFonts w:ascii="宋体" w:hAnsi="宋体" w:eastAsia="宋体"/>
                <w:color w:val="000000"/>
                <w:sz w:val="18"/>
              </w:rPr>
              <w:t>10</w:t>
            </w:r>
          </w:p>
        </w:tc>
        <w:tc>
          <w:tcPr>
            <w:tcW w:type="dxa" w:w="217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发明名称、发明人</w:t>
            </w:r>
          </w:p>
        </w:tc>
        <w:tc>
          <w:tcPr>
            <w:tcW w:type="dxa" w:w="198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申请日与授权公告日，精确到日</w:t>
            </w:r>
          </w:p>
        </w:tc>
        <w:tc>
          <w:tcPr>
            <w:tcW w:type="dxa" w:w="229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补足专利展示样本；当前法律状态未核验</w:t>
            </w:r>
          </w:p>
        </w:tc>
      </w:tr>
    </w:tbl>
    <w:p>
      <w:pPr>
        <w:pStyle w:val="BodyText"/>
        <w:widowControl/>
        <w:spacing w:after="100" w:line="288" w:lineRule="auto"/>
      </w:pPr>
      <w:r>
        <w:rPr>
          <w:rFonts w:hint="eastAsia"/>
        </w:rPr>
        <w:t>知识产权局主检索普通请求返回</w:t>
      </w:r>
      <w:r>
        <w:t xml:space="preserve"> HTTP </w:t>
      </w:r>
      <w:r>
        <w:rPr>
          <w:rFonts w:hint="eastAsia"/>
        </w:rPr>
        <w:t>412；基金委大数据门户返回</w:t>
      </w:r>
      <w:r>
        <w:t xml:space="preserve"> HTTP </w:t>
      </w:r>
      <w:r>
        <w:rPr>
          <w:rFonts w:hint="eastAsia"/>
        </w:rPr>
        <w:t>200，但正文只是</w:t>
      </w:r>
      <w:r>
        <w:t xml:space="preserve"> JavaScript </w:t>
      </w:r>
      <w:r>
        <w:rPr>
          <w:rFonts w:hint="eastAsia"/>
        </w:rPr>
        <w:t>应用外壳，并没有项目列表。前者不等于专利不存在，后者也不等于项目数据已成功取得。成功样本分别来自公开附件和官网静态清单，不能据此声称已经打通两者的通用检索系统。[E2]</w:t>
      </w:r>
    </w:p>
    <w:p>
      <w:pPr>
        <w:pStyle w:val="BodyText"/>
        <w:widowControl/>
        <w:spacing w:after="100" w:line="288" w:lineRule="auto"/>
      </w:pPr>
      <w:r>
        <w:rPr>
          <w:rFonts w:hint="eastAsia"/>
          <w:b/>
          <w:bCs/>
        </w:rPr>
        <w:t>字段差异。</w:t>
      </w:r>
      <w:r>
        <w:t xml:space="preserve"> </w:t>
      </w:r>
      <w:r>
        <w:rPr>
          <w:rFonts w:hint="eastAsia"/>
        </w:rPr>
        <w:t>基金委清单于</w:t>
      </w:r>
      <w:r>
        <w:t xml:space="preserve"> 2020-04-02 </w:t>
      </w:r>
      <w:r>
        <w:rPr>
          <w:rFonts w:hint="eastAsia"/>
        </w:rPr>
        <w:t>发布，资助年度为</w:t>
      </w:r>
      <w:r>
        <w:t xml:space="preserve"> </w:t>
      </w:r>
      <w:r>
        <w:rPr>
          <w:rFonts w:hint="eastAsia"/>
        </w:rPr>
        <w:t>2019；科技部目录于</w:t>
      </w:r>
      <w:r>
        <w:t xml:space="preserve"> 2024-06-24 </w:t>
      </w:r>
      <w:r>
        <w:rPr>
          <w:rFonts w:hint="eastAsia"/>
        </w:rPr>
        <w:t>发布，奖励年度为</w:t>
      </w:r>
      <w:r>
        <w:t xml:space="preserve"> </w:t>
      </w:r>
      <w:r>
        <w:rPr>
          <w:rFonts w:hint="eastAsia"/>
        </w:rPr>
        <w:t>2023；高校专利清单于</w:t>
      </w:r>
      <w:r>
        <w:t xml:space="preserve"> 2026-06-10 </w:t>
      </w:r>
      <w:r>
        <w:rPr>
          <w:rFonts w:hint="eastAsia"/>
        </w:rPr>
        <w:t>发布，所列授权日期在</w:t>
      </w:r>
      <w:r>
        <w:t xml:space="preserve"> 2025 </w:t>
      </w:r>
      <w:r>
        <w:rPr>
          <w:rFonts w:hint="eastAsia"/>
        </w:rPr>
        <w:t>年。将网页发布日期作为统一的“成果日期”会误导年度筛选和统计。只提供年份时保留年份精度，不补成虚假的月日；缺少授权日期时保持未知。[E2]</w:t>
      </w:r>
    </w:p>
    <w:p>
      <w:pPr>
        <w:pStyle w:val="BodyText"/>
        <w:widowControl/>
        <w:spacing w:after="100" w:line="288" w:lineRule="auto"/>
      </w:pPr>
      <w:r>
        <w:rPr>
          <w:rFonts w:hint="eastAsia"/>
          <w:b/>
          <w:bCs/>
        </w:rPr>
        <w:t>结果及判断。</w:t>
      </w:r>
      <w:r>
        <w:t xml:space="preserve"> </w:t>
      </w:r>
      <w:r>
        <w:rPr>
          <w:rFonts w:hint="eastAsia"/>
        </w:rPr>
        <w:t>三个指定来源共</w:t>
      </w:r>
      <w:r>
        <w:t xml:space="preserve"> 30 </w:t>
      </w:r>
      <w:r>
        <w:rPr>
          <w:rFonts w:hint="eastAsia"/>
        </w:rPr>
        <w:t>条，加上补充专利</w:t>
      </w:r>
      <w:r>
        <w:t xml:space="preserve"> 10 </w:t>
      </w:r>
      <w:r>
        <w:rPr>
          <w:rFonts w:hint="eastAsia"/>
        </w:rPr>
        <w:t>条，共计</w:t>
      </w:r>
      <w:r>
        <w:t xml:space="preserve"> 40 </w:t>
      </w:r>
      <w:r>
        <w:rPr>
          <w:rFonts w:hint="eastAsia"/>
        </w:rPr>
        <w:t>条证据记录。展示集使用补充专利、基金委项目和科技部获奖各</w:t>
      </w:r>
      <w:r>
        <w:t xml:space="preserve"> 10 </w:t>
      </w:r>
      <w:r>
        <w:rPr>
          <w:rFonts w:hint="eastAsia"/>
        </w:rPr>
        <w:t>条，共</w:t>
      </w:r>
      <w:r>
        <w:t xml:space="preserve"> 30 </w:t>
      </w:r>
      <w:r>
        <w:rPr>
          <w:rFonts w:hint="eastAsia"/>
        </w:rPr>
        <w:t>条；知识产权局的</w:t>
      </w:r>
      <w:r>
        <w:t xml:space="preserve"> 10 </w:t>
      </w:r>
      <w:r>
        <w:rPr>
          <w:rFonts w:hint="eastAsia"/>
        </w:rPr>
        <w:t>条专利因日期缺失另存。实验记录记载展示集的标题、人员、成果时间和来源必填检查通过，当前专利法律状态仍需另行核验。[E2]</w:t>
      </w:r>
    </w:p>
    <w:p>
      <w:pPr>
        <w:pStyle w:val="BodyText"/>
        <w:widowControl/>
        <w:spacing w:after="100" w:line="288" w:lineRule="auto"/>
      </w:pPr>
      <w:r>
        <w:rPr>
          <w:rFonts w:hint="eastAsia"/>
        </w:rPr>
        <w:t>复核需要完整调查、40</w:t>
      </w:r>
      <w:r>
        <w:t xml:space="preserve"> </w:t>
      </w:r>
      <w:r>
        <w:rPr>
          <w:rFonts w:hint="eastAsia"/>
        </w:rPr>
        <w:t>条证据记录、30</w:t>
      </w:r>
      <w:r>
        <w:t xml:space="preserve"> </w:t>
      </w:r>
      <w:r>
        <w:rPr>
          <w:rFonts w:hint="eastAsia"/>
        </w:rPr>
        <w:t>条展示数据、校验结果和采集脚本，文件清单见</w:t>
      </w:r>
      <w:hyperlink r:id="rId48">
        <w:r>
          <w:rPr>
            <w:rStyle w:val="Hyperlink"/>
            <w:rFonts w:hint="eastAsia"/>
          </w:rPr>
          <w:t xml:space="preserve">文档修订说明</w:t>
        </w:r>
      </w:hyperlink>
      <w:r>
        <w:t>§4。</w:t>
      </w:r>
    </w:p>
    <w:bookmarkEnd w:id="50"/>
    <w:bookmarkStart w:id="51" w:name="数据条件的总体判断"/>
    <w:p>
      <w:pPr>
        <w:pStyle w:val="Heading3"/>
        <w:keepNext/>
        <w:widowControl/>
        <w:spacing w:after="100" w:line="288" w:lineRule="auto" w:before="200"/>
      </w:pPr>
      <w:r>
        <w:t xml:space="preserve">8.6 </w:t>
      </w:r>
      <w:r>
        <w:rPr>
          <w:rFonts w:hint="eastAsia"/>
        </w:rPr>
        <w:t>数据条件的总体判断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两项实验为论文定向采集和非论文清单展示提供了小样本参考。来源可访问、记录可解析、字段完整、文献体裁正确以及人员和学科归属可信，需要分别验证。后续还需扩大样本，测试批量采集稳定性、分类质量和运行性能。</w:t>
      </w:r>
    </w:p>
    <w:bookmarkEnd w:id="51"/>
    <w:bookmarkStart w:id="52" w:name="数据源职责划分"/>
    <w:p>
      <w:pPr>
        <w:pStyle w:val="Heading3"/>
        <w:keepNext/>
        <w:widowControl/>
        <w:spacing w:after="100" w:line="288" w:lineRule="auto" w:before="200"/>
      </w:pPr>
      <w:r>
        <w:t xml:space="preserve">8.7 </w:t>
      </w:r>
      <w:r>
        <w:rPr>
          <w:rFonts w:hint="eastAsia"/>
        </w:rPr>
        <w:t>数据源职责划分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数据源按用途分工：Crossref</w:t>
      </w:r>
      <w:r>
        <w:t xml:space="preserve"> </w:t>
      </w:r>
      <w:r>
        <w:rPr>
          <w:rFonts w:hint="eastAsia"/>
        </w:rPr>
        <w:t>用于定向题录核验，OpenAlex</w:t>
      </w:r>
      <w:r>
        <w:t xml:space="preserve"> </w:t>
      </w:r>
      <w:r>
        <w:rPr>
          <w:rFonts w:hint="eastAsia"/>
        </w:rPr>
        <w:t>作为规模建库和主题数据候选，DBLP</w:t>
      </w:r>
      <w:r>
        <w:t xml:space="preserve"> </w:t>
      </w:r>
      <w:r>
        <w:rPr>
          <w:rFonts w:hint="eastAsia"/>
        </w:rPr>
        <w:t>作为计算机学科书目补充。各来源在启用前分别验证。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53"/>
        <w:gridCol w:w="3692"/>
        <w:gridCol w:w="3692"/>
      </w:tblGrid>
      <w:tr>
        <w:trPr>
          <w:tblHeader w:val="on"/>
          <w:tblHeader/>
        </w:trPr>
        <w:tc>
          <w:tcPr>
            <w:tcW w:type="dxa" w:w="225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数据类别或任务</w:t>
            </w:r>
          </w:p>
        </w:tc>
        <w:tc>
          <w:tcPr>
            <w:tcW w:type="dxa" w:w="36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一期职责</w:t>
            </w:r>
          </w:p>
        </w:tc>
        <w:tc>
          <w:tcPr>
            <w:tcW w:type="dxa" w:w="36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尚需验证的部分</w:t>
            </w:r>
          </w:p>
        </w:tc>
      </w:tr>
      <w:tr>
        <w:trPr/>
        <w:tc>
          <w:tcPr>
            <w:tcW w:type="dxa" w:w="225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论文定向补采与出版字段</w:t>
            </w:r>
          </w:p>
        </w:tc>
        <w:tc>
          <w:tcPr>
            <w:tcW w:type="dxa" w:w="36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Crossref DOI / ISSN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定向采集</w:t>
            </w:r>
          </w:p>
        </w:tc>
        <w:tc>
          <w:tcPr>
            <w:tcW w:type="dxa" w:w="36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实验复核、连续分页、规模及来源访问配置</w:t>
            </w:r>
          </w:p>
        </w:tc>
      </w:tr>
      <w:tr>
        <w:trPr/>
        <w:tc>
          <w:tcPr>
            <w:tcW w:type="dxa" w:w="225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论文规模建库和主题</w:t>
            </w:r>
          </w:p>
        </w:tc>
        <w:tc>
          <w:tcPr>
            <w:tcW w:type="dxa" w:w="36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OpenAlex API /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快照候选</w:t>
            </w:r>
          </w:p>
        </w:tc>
        <w:tc>
          <w:tcPr>
            <w:tcW w:type="dxa" w:w="36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许可、访问条件、实际覆盖、获取成本、字段映射和更新机制</w:t>
            </w:r>
          </w:p>
        </w:tc>
      </w:tr>
      <w:tr>
        <w:trPr/>
        <w:tc>
          <w:tcPr>
            <w:tcW w:type="dxa" w:w="225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计算机学科书目</w:t>
            </w:r>
          </w:p>
        </w:tc>
        <w:tc>
          <w:tcPr>
            <w:tcW w:type="dxa" w:w="36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DBLP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作为专业补充候选</w:t>
            </w:r>
          </w:p>
        </w:tc>
        <w:tc>
          <w:tcPr>
            <w:tcW w:type="dxa" w:w="36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标识与作者顺序映射、实际获取方式及更新</w:t>
            </w:r>
          </w:p>
        </w:tc>
      </w:tr>
      <w:tr>
        <w:trPr/>
        <w:tc>
          <w:tcPr>
            <w:tcW w:type="dxa" w:w="225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引用与开放获取</w:t>
            </w:r>
          </w:p>
        </w:tc>
        <w:tc>
          <w:tcPr>
            <w:tcW w:type="dxa" w:w="36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来源明确的引用和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OA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状态分源保存；辅助源可独立启停</w:t>
            </w:r>
          </w:p>
        </w:tc>
        <w:tc>
          <w:tcPr>
            <w:tcW w:type="dxa" w:w="36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访问条件、返回字段、许可与缺失处理</w:t>
            </w:r>
          </w:p>
        </w:tc>
      </w:tr>
      <w:tr>
        <w:trPr/>
        <w:tc>
          <w:tcPr>
            <w:tcW w:type="dxa" w:w="225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专利</w:t>
            </w:r>
          </w:p>
        </w:tc>
        <w:tc>
          <w:tcPr>
            <w:tcW w:type="dxa" w:w="36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公开公告及清单可作为样本；区分公开文献、申请和家族</w:t>
            </w:r>
          </w:p>
        </w:tc>
        <w:tc>
          <w:tcPr>
            <w:tcW w:type="dxa" w:w="36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授权时间、当前状态、自动化深度；受限入口需验证后接入</w:t>
            </w:r>
          </w:p>
        </w:tc>
      </w:tr>
      <w:tr>
        <w:trPr/>
        <w:tc>
          <w:tcPr>
            <w:tcW w:type="dxa" w:w="225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科研项目</w:t>
            </w:r>
          </w:p>
        </w:tc>
        <w:tc>
          <w:tcPr>
            <w:tcW w:type="dxa" w:w="36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公开资助清单；项目号须结合资助机构识别</w:t>
            </w:r>
          </w:p>
        </w:tc>
        <w:tc>
          <w:tcPr>
            <w:tcW w:type="dxa" w:w="36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批准号与来源编号类型、实际起止和结题状态</w:t>
            </w:r>
          </w:p>
        </w:tc>
      </w:tr>
      <w:tr>
        <w:trPr/>
        <w:tc>
          <w:tcPr>
            <w:tcW w:type="dxa" w:w="225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学术获奖</w:t>
            </w:r>
          </w:p>
        </w:tc>
        <w:tc>
          <w:tcPr>
            <w:tcW w:type="dxa" w:w="36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官方获奖公告、学会或省部级名单候选</w:t>
            </w:r>
          </w:p>
        </w:tc>
        <w:tc>
          <w:tcPr>
            <w:tcW w:type="dxa" w:w="36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提名与正式获奖区分、个人和单位对象</w:t>
            </w:r>
          </w:p>
        </w:tc>
      </w:tr>
      <w:tr>
        <w:trPr/>
        <w:tc>
          <w:tcPr>
            <w:tcW w:type="dxa" w:w="225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人员和机构标识</w:t>
            </w:r>
          </w:p>
        </w:tc>
        <w:tc>
          <w:tcPr>
            <w:tcW w:type="dxa" w:w="36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可信来源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ORCID / ROR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辅助身份匹配</w:t>
            </w:r>
          </w:p>
        </w:tc>
        <w:tc>
          <w:tcPr>
            <w:tcW w:type="dxa" w:w="36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来源关联质量与账号控制证明；弱匹配人工确认</w:t>
            </w:r>
          </w:p>
        </w:tc>
      </w:tr>
    </w:tbl>
    <w:p>
      <w:pPr>
        <w:pStyle w:val="BodyText"/>
        <w:widowControl/>
        <w:spacing w:after="100" w:line="288" w:lineRule="auto"/>
      </w:pPr>
      <w:r>
        <w:rPr>
          <w:rFonts w:hint="eastAsia"/>
        </w:rPr>
        <w:t>各来源登记访问方式、允许用途、所需凭证、频率、字段、增量方式和核验日期。配额及接口状态在接入时核对，并按来源配置。</w:t>
      </w:r>
    </w:p>
    <w:bookmarkEnd w:id="52"/>
    <w:bookmarkStart w:id="53" w:name="领域分类与数据更新"/>
    <w:p>
      <w:pPr>
        <w:pStyle w:val="Heading3"/>
        <w:keepNext/>
        <w:widowControl/>
        <w:spacing w:after="100" w:line="288" w:lineRule="auto" w:before="200"/>
      </w:pPr>
      <w:r>
        <w:t xml:space="preserve">8.8 </w:t>
      </w:r>
      <w:r>
        <w:rPr>
          <w:rFonts w:hint="eastAsia"/>
        </w:rPr>
        <w:t>领域分类与数据更新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平台以稳定学科目录组织领域，提供“领域—学科—研究方向”三级导航。OpenAlex</w:t>
      </w:r>
      <w:r>
        <w:t xml:space="preserve"> </w:t>
      </w:r>
      <w:r>
        <w:rPr>
          <w:rFonts w:hint="eastAsia"/>
        </w:rPr>
        <w:t>主题、基金学科代码等外部分类保留各自体系和版本，通过映射关联。跨学科成果可关联多个领域，候选标签与已确认分类分开，未分类成果单列。</w:t>
      </w:r>
    </w:p>
    <w:p>
      <w:pPr>
        <w:pStyle w:val="BodyText"/>
        <w:widowControl/>
        <w:spacing w:after="100" w:line="288" w:lineRule="auto"/>
      </w:pPr>
      <w:r>
        <w:rPr>
          <w:rFonts w:hint="eastAsia"/>
        </w:rPr>
        <w:t>论文采用来源允许的快照、游标或有界增量窗口；专利、项目、奖励按公告批次及内容哈希跟踪更新。某条记录在一次采集中缺席时，不直接判定为撤销；需要撤销依据或复核。原文不变但解析或清洗规则升级仍可重新处理。公开数据版本切换后，列表和统计使用同一范围。</w:t>
      </w:r>
    </w:p>
    <w:bookmarkEnd w:id="53"/>
    <w:bookmarkStart w:id="54" w:name="采集和公开使用的项目约束"/>
    <w:p>
      <w:pPr>
        <w:pStyle w:val="Heading3"/>
        <w:keepNext/>
        <w:widowControl/>
        <w:spacing w:after="100" w:line="288" w:lineRule="auto" w:before="200"/>
      </w:pPr>
      <w:r>
        <w:t xml:space="preserve">8.9 </w:t>
      </w:r>
      <w:r>
        <w:rPr>
          <w:rFonts w:hint="eastAsia"/>
        </w:rPr>
        <w:t>采集和公开使用的项目约束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仅采集已登记且允许使用的来源，不绕过登录、验证码或付费限制，不采集未授权私人字段，不托管未获授权全文。元数据、摘要、原始附件和全文链接分别登记用途与访问范围；公开可见的资料仍需核对再发布条件。认领证明存于私有审核空间，与公开成果数据分开保存。具体来源条款在启用前核对。</w:t>
      </w:r>
    </w:p>
    <w:bookmarkEnd w:id="54"/>
    <w:bookmarkEnd w:id="55"/>
    <w:bookmarkStart w:id="66" w:name="调研材料索引"/>
    <w:p>
      <w:pPr>
        <w:pStyle w:val="Heading2"/>
        <w:keepNext/>
        <w:widowControl/>
        <w:spacing w:after="100" w:line="288" w:lineRule="auto" w:before="200"/>
      </w:pPr>
      <w:r>
        <w:t xml:space="preserve">12. </w:t>
      </w:r>
      <w:r>
        <w:rPr>
          <w:rFonts w:hint="eastAsia"/>
        </w:rPr>
        <w:t>调研材料索引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资料按任务书、公开网页、实验记录和设计材料分类。E1、E2</w:t>
      </w:r>
      <w:r>
        <w:t xml:space="preserve"> </w:t>
      </w:r>
      <w:r>
        <w:rPr>
          <w:rFonts w:hint="eastAsia"/>
        </w:rPr>
        <w:t>的原始文件以及</w:t>
      </w:r>
      <w:r>
        <w:t xml:space="preserve"> A2、C2 </w:t>
      </w:r>
      <w:r>
        <w:rPr>
          <w:rFonts w:hint="eastAsia"/>
        </w:rPr>
        <w:t>的部分材料待补，完整清单见修订说明。网页链接沿用调研时记录，未在本版逐一重新核验。任务书采用正文印刷页码，PDF</w:t>
      </w:r>
      <w:r>
        <w:t xml:space="preserve"> </w:t>
      </w:r>
      <w:r>
        <w:rPr>
          <w:rFonts w:hint="eastAsia"/>
        </w:rPr>
        <w:t>阅读器页序为正文页码加</w:t>
      </w:r>
      <w:r>
        <w:t xml:space="preserve"> 2。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05"/>
        <w:gridCol w:w="4557"/>
        <w:gridCol w:w="3676"/>
      </w:tblGrid>
      <w:tr>
        <w:trPr>
          <w:tblHeader w:val="on"/>
          <w:tblHeader/>
        </w:trPr>
        <w:tc>
          <w:tcPr>
            <w:tcW w:type="dxa" w:w="140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编号</w:t>
            </w:r>
          </w:p>
        </w:tc>
        <w:tc>
          <w:tcPr>
            <w:tcW w:type="dxa" w:w="455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资料</w:t>
            </w:r>
          </w:p>
        </w:tc>
        <w:tc>
          <w:tcPr>
            <w:tcW w:type="dxa" w:w="367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用途</w:t>
            </w:r>
          </w:p>
        </w:tc>
      </w:tr>
      <w:tr>
        <w:trPr/>
        <w:tc>
          <w:tcPr>
            <w:tcW w:type="dxa" w:w="140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A1</w:t>
            </w:r>
          </w:p>
        </w:tc>
        <w:tc>
          <w:tcPr>
            <w:tcW w:type="dxa" w:w="455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课程任务书文字提取件，正文第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1、3～4、8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页；对应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PDF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待补</w:t>
            </w:r>
          </w:p>
        </w:tc>
        <w:tc>
          <w:tcPr>
            <w:tcW w:type="dxa" w:w="367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项目定位、角色、调研要求及课程范围</w:t>
            </w:r>
          </w:p>
        </w:tc>
      </w:tr>
      <w:tr>
        <w:trPr/>
        <w:tc>
          <w:tcPr>
            <w:tcW w:type="dxa" w:w="140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A2</w:t>
            </w:r>
          </w:p>
        </w:tc>
        <w:tc>
          <w:tcPr>
            <w:tcW w:type="dxa" w:w="455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SRS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v0.1，原始文件待补</w:t>
            </w:r>
          </w:p>
        </w:tc>
        <w:tc>
          <w:tcPr>
            <w:tcW w:type="dxa" w:w="367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早期设计输入及范围核对</w:t>
            </w:r>
          </w:p>
        </w:tc>
      </w:tr>
      <w:tr>
        <w:trPr/>
        <w:tc>
          <w:tcPr>
            <w:tcW w:type="dxa" w:w="140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W1</w:t>
            </w:r>
          </w:p>
        </w:tc>
        <w:tc>
          <w:tcPr>
            <w:tcW w:type="dxa" w:w="455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hyperlink r:id="rId23">
              <w:r>
                <w:rPr>
                  <w:rStyle w:val="Hyperlink"/>
                </w:rPr>
                <w:t xml:space="preserve">Google Scholar Profiles</w:t>
              </w:r>
            </w:hyperlink>
          </w:p>
        </w:tc>
        <w:tc>
          <w:tcPr>
            <w:tcW w:type="dxa" w:w="367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作者资料维护与记录修正</w:t>
            </w:r>
          </w:p>
        </w:tc>
      </w:tr>
      <w:tr>
        <w:trPr/>
        <w:tc>
          <w:tcPr>
            <w:tcW w:type="dxa" w:w="140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W2</w:t>
            </w:r>
          </w:p>
        </w:tc>
        <w:tc>
          <w:tcPr>
            <w:tcW w:type="dxa" w:w="455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hyperlink r:id="rId24">
              <w:r>
                <w:rPr>
                  <w:rStyle w:val="Hyperlink"/>
                </w:rPr>
                <w:t xml:space="preserve">Semantic Scholar </w:t>
              </w:r>
              <w:r>
                <w:rPr>
                  <w:rStyle w:val="Hyperlink"/>
                  <w:rFonts w:hint="eastAsia"/>
                </w:rPr>
                <w:t xml:space="preserve">作者主页说明</w:t>
              </w:r>
            </w:hyperlink>
          </w:p>
        </w:tc>
        <w:tc>
          <w:tcPr>
            <w:tcW w:type="dxa" w:w="367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门户认领与审核机制</w:t>
            </w:r>
          </w:p>
        </w:tc>
      </w:tr>
      <w:tr>
        <w:trPr/>
        <w:tc>
          <w:tcPr>
            <w:tcW w:type="dxa" w:w="140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W3</w:t>
            </w:r>
          </w:p>
        </w:tc>
        <w:tc>
          <w:tcPr>
            <w:tcW w:type="dxa" w:w="455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hyperlink r:id="rId25">
              <w:r>
                <w:rPr>
                  <w:rStyle w:val="Hyperlink"/>
                </w:rPr>
                <w:t xml:space="preserve">Semantic Scholar </w:t>
              </w:r>
              <w:r>
                <w:rPr>
                  <w:rStyle w:val="Hyperlink"/>
                  <w:rFonts w:hint="eastAsia"/>
                </w:rPr>
                <w:t xml:space="preserve">官方常见问题</w:t>
              </w:r>
            </w:hyperlink>
          </w:p>
        </w:tc>
        <w:tc>
          <w:tcPr>
            <w:tcW w:type="dxa" w:w="367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自动作者页面及纠错机制</w:t>
            </w:r>
          </w:p>
        </w:tc>
      </w:tr>
      <w:tr>
        <w:trPr/>
        <w:tc>
          <w:tcPr>
            <w:tcW w:type="dxa" w:w="140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W4</w:t>
            </w:r>
          </w:p>
        </w:tc>
        <w:tc>
          <w:tcPr>
            <w:tcW w:type="dxa" w:w="455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hyperlink r:id="rId26">
              <w:r>
                <w:rPr>
                  <w:rStyle w:val="Hyperlink"/>
                </w:rPr>
                <w:t xml:space="preserve">OpenAlex </w:t>
              </w:r>
              <w:r>
                <w:rPr>
                  <w:rStyle w:val="Hyperlink"/>
                  <w:rFonts w:hint="eastAsia"/>
                </w:rPr>
                <w:t xml:space="preserve">数据说明</w:t>
              </w:r>
            </w:hyperlink>
            <w:r>
              <w:rPr>
                <w:rFonts w:hint="eastAsia" w:ascii="宋体" w:hAnsi="宋体" w:eastAsia="宋体"/>
                <w:color w:val="000000"/>
                <w:sz w:val="18"/>
              </w:rPr>
              <w:t>与</w:t>
            </w:r>
            <w:hyperlink r:id="rId27">
              <w:r>
                <w:rPr>
                  <w:rStyle w:val="Hyperlink"/>
                  <w:rFonts w:hint="eastAsia"/>
                </w:rPr>
                <w:t xml:space="preserve">使用指南</w:t>
              </w:r>
            </w:hyperlink>
          </w:p>
        </w:tc>
        <w:tc>
          <w:tcPr>
            <w:tcW w:type="dxa" w:w="367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研究实体组织和分析用途</w:t>
            </w:r>
          </w:p>
        </w:tc>
      </w:tr>
      <w:tr>
        <w:trPr/>
        <w:tc>
          <w:tcPr>
            <w:tcW w:type="dxa" w:w="140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W5</w:t>
            </w:r>
          </w:p>
        </w:tc>
        <w:tc>
          <w:tcPr>
            <w:tcW w:type="dxa" w:w="455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hyperlink r:id="rId28">
              <w:r>
                <w:rPr>
                  <w:rStyle w:val="Hyperlink"/>
                </w:rPr>
                <w:t xml:space="preserve">DBLP </w:t>
              </w:r>
              <w:r>
                <w:rPr>
                  <w:rStyle w:val="Hyperlink"/>
                  <w:rFonts w:hint="eastAsia"/>
                </w:rPr>
                <w:t xml:space="preserve">官方站点</w:t>
              </w:r>
            </w:hyperlink>
            <w:r>
              <w:rPr>
                <w:rFonts w:hint="eastAsia" w:ascii="宋体" w:hAnsi="宋体" w:eastAsia="宋体"/>
                <w:color w:val="000000"/>
                <w:sz w:val="18"/>
              </w:rPr>
              <w:t>与</w:t>
            </w:r>
            <w:hyperlink r:id="rId29">
              <w:r>
                <w:rPr>
                  <w:rStyle w:val="Hyperlink"/>
                  <w:rFonts w:hint="eastAsia"/>
                </w:rPr>
                <w:t xml:space="preserve">下载说明</w:t>
              </w:r>
            </w:hyperlink>
          </w:p>
        </w:tc>
        <w:tc>
          <w:tcPr>
            <w:tcW w:type="dxa" w:w="367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专业书目及数据基础</w:t>
            </w:r>
          </w:p>
        </w:tc>
      </w:tr>
      <w:tr>
        <w:trPr/>
        <w:tc>
          <w:tcPr>
            <w:tcW w:type="dxa" w:w="140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W6</w:t>
            </w:r>
          </w:p>
        </w:tc>
        <w:tc>
          <w:tcPr>
            <w:tcW w:type="dxa" w:w="455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hyperlink r:id="rId30">
              <w:r>
                <w:rPr>
                  <w:rStyle w:val="Hyperlink"/>
                </w:rPr>
                <w:t xml:space="preserve">ORCID </w:t>
              </w:r>
              <w:r>
                <w:rPr>
                  <w:rStyle w:val="Hyperlink"/>
                  <w:rFonts w:hint="eastAsia"/>
                </w:rPr>
                <w:t xml:space="preserve">成果添加说明</w:t>
              </w:r>
            </w:hyperlink>
          </w:p>
        </w:tc>
        <w:tc>
          <w:tcPr>
            <w:tcW w:type="dxa" w:w="367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个人成果资料的复用方式</w:t>
            </w:r>
          </w:p>
        </w:tc>
      </w:tr>
      <w:tr>
        <w:trPr/>
        <w:tc>
          <w:tcPr>
            <w:tcW w:type="dxa" w:w="140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W7</w:t>
            </w:r>
          </w:p>
        </w:tc>
        <w:tc>
          <w:tcPr>
            <w:tcW w:type="dxa" w:w="455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hyperlink r:id="rId36">
              <w:r>
                <w:rPr>
                  <w:rStyle w:val="Hyperlink"/>
                </w:rPr>
                <w:t xml:space="preserve">Crossref REST API</w:t>
              </w:r>
            </w:hyperlink>
            <w:r>
              <w:rPr>
                <w:rFonts w:hint="eastAsia" w:ascii="宋体" w:hAnsi="宋体" w:eastAsia="宋体"/>
                <w:color w:val="000000"/>
                <w:sz w:val="18"/>
              </w:rPr>
              <w:t>与</w:t>
            </w:r>
            <w:hyperlink r:id="rId56">
              <w:r>
                <w:rPr>
                  <w:rStyle w:val="Hyperlink"/>
                </w:rPr>
                <w:t xml:space="preserve">Cited-by</w:t>
              </w:r>
            </w:hyperlink>
          </w:p>
        </w:tc>
        <w:tc>
          <w:tcPr>
            <w:tcW w:type="dxa" w:w="367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论文元数据及引用解释边界</w:t>
            </w:r>
          </w:p>
        </w:tc>
      </w:tr>
      <w:tr>
        <w:trPr/>
        <w:tc>
          <w:tcPr>
            <w:tcW w:type="dxa" w:w="140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W8</w:t>
            </w:r>
          </w:p>
        </w:tc>
        <w:tc>
          <w:tcPr>
            <w:tcW w:type="dxa" w:w="455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hyperlink r:id="rId37">
              <w:r>
                <w:rPr>
                  <w:rStyle w:val="Hyperlink"/>
                </w:rPr>
                <w:t xml:space="preserve">Unpaywall API</w:t>
              </w:r>
            </w:hyperlink>
          </w:p>
        </w:tc>
        <w:tc>
          <w:tcPr>
            <w:tcW w:type="dxa" w:w="367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开放获取状态支撑</w:t>
            </w:r>
          </w:p>
        </w:tc>
      </w:tr>
      <w:tr>
        <w:trPr/>
        <w:tc>
          <w:tcPr>
            <w:tcW w:type="dxa" w:w="140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W9</w:t>
            </w:r>
          </w:p>
        </w:tc>
        <w:tc>
          <w:tcPr>
            <w:tcW w:type="dxa" w:w="455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hyperlink r:id="rId38">
              <w:r>
                <w:rPr>
                  <w:rStyle w:val="Hyperlink"/>
                  <w:rFonts w:hint="eastAsia"/>
                </w:rPr>
                <w:t xml:space="preserve">国家知识产权局系统介绍</w:t>
              </w:r>
            </w:hyperlink>
          </w:p>
        </w:tc>
        <w:tc>
          <w:tcPr>
            <w:tcW w:type="dxa" w:w="367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专利公开服务入口</w:t>
            </w:r>
          </w:p>
        </w:tc>
      </w:tr>
      <w:tr>
        <w:trPr/>
        <w:tc>
          <w:tcPr>
            <w:tcW w:type="dxa" w:w="140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W10</w:t>
            </w:r>
          </w:p>
        </w:tc>
        <w:tc>
          <w:tcPr>
            <w:tcW w:type="dxa" w:w="455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hyperlink r:id="rId57">
              <w:r>
                <w:rPr>
                  <w:rStyle w:val="Hyperlink"/>
                </w:rPr>
                <w:t xml:space="preserve">NSFC </w:t>
              </w:r>
              <w:r>
                <w:rPr>
                  <w:rStyle w:val="Hyperlink"/>
                  <w:rFonts w:hint="eastAsia"/>
                </w:rPr>
                <w:t xml:space="preserve">信息公开报告</w:t>
              </w:r>
            </w:hyperlink>
          </w:p>
        </w:tc>
        <w:tc>
          <w:tcPr>
            <w:tcW w:type="dxa" w:w="367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科研项目及成果公开基础</w:t>
            </w:r>
          </w:p>
        </w:tc>
      </w:tr>
      <w:tr>
        <w:trPr/>
        <w:tc>
          <w:tcPr>
            <w:tcW w:type="dxa" w:w="140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W11</w:t>
            </w:r>
          </w:p>
        </w:tc>
        <w:tc>
          <w:tcPr>
            <w:tcW w:type="dxa" w:w="455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hyperlink r:id="rId40">
              <w:r>
                <w:rPr>
                  <w:rStyle w:val="Hyperlink"/>
                  <w:rFonts w:hint="eastAsia"/>
                </w:rPr>
                <w:t xml:space="preserve">科技部国家自然科学奖目录</w:t>
              </w:r>
            </w:hyperlink>
          </w:p>
        </w:tc>
        <w:tc>
          <w:tcPr>
            <w:tcW w:type="dxa" w:w="367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获奖成果公开样本</w:t>
            </w:r>
          </w:p>
        </w:tc>
      </w:tr>
      <w:tr>
        <w:trPr/>
        <w:tc>
          <w:tcPr>
            <w:tcW w:type="dxa" w:w="140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W12</w:t>
            </w:r>
          </w:p>
        </w:tc>
        <w:tc>
          <w:tcPr>
            <w:tcW w:type="dxa" w:w="455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hyperlink r:id="rId44">
              <w:r>
                <w:rPr>
                  <w:rStyle w:val="Hyperlink"/>
                  <w:rFonts w:hint="eastAsia"/>
                </w:rPr>
                <w:t xml:space="preserve">教育部学科目录相关材料</w:t>
              </w:r>
            </w:hyperlink>
          </w:p>
        </w:tc>
        <w:tc>
          <w:tcPr>
            <w:tcW w:type="dxa" w:w="367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学科组织方式参考</w:t>
            </w:r>
          </w:p>
        </w:tc>
      </w:tr>
      <w:tr>
        <w:trPr/>
        <w:tc>
          <w:tcPr>
            <w:tcW w:type="dxa" w:w="140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W13</w:t>
            </w:r>
          </w:p>
        </w:tc>
        <w:tc>
          <w:tcPr>
            <w:tcW w:type="dxa" w:w="455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hyperlink r:id="rId46">
              <w:r>
                <w:rPr>
                  <w:rStyle w:val="Hyperlink"/>
                </w:rPr>
                <w:t xml:space="preserve">Crossref </w:t>
              </w:r>
              <w:r>
                <w:rPr>
                  <w:rStyle w:val="Hyperlink"/>
                  <w:rFonts w:hint="eastAsia"/>
                </w:rPr>
                <w:t xml:space="preserve">学科停用公告</w:t>
              </w:r>
            </w:hyperlink>
            <w:r>
              <w:rPr>
                <w:rFonts w:hint="eastAsia" w:ascii="宋体" w:hAnsi="宋体" w:eastAsia="宋体"/>
                <w:color w:val="000000"/>
                <w:sz w:val="18"/>
              </w:rPr>
              <w:t>与</w:t>
            </w:r>
            <w:hyperlink r:id="rId47">
              <w:r>
                <w:rPr>
                  <w:rStyle w:val="Hyperlink"/>
                  <w:rFonts w:hint="eastAsia"/>
                </w:rPr>
                <w:t xml:space="preserve">官方答复</w:t>
              </w:r>
            </w:hyperlink>
          </w:p>
        </w:tc>
        <w:tc>
          <w:tcPr>
            <w:tcW w:type="dxa" w:w="367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分类来源能力的修正依据</w:t>
            </w:r>
          </w:p>
        </w:tc>
      </w:tr>
      <w:tr>
        <w:trPr/>
        <w:tc>
          <w:tcPr>
            <w:tcW w:type="dxa" w:w="140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W14</w:t>
            </w:r>
          </w:p>
        </w:tc>
        <w:tc>
          <w:tcPr>
            <w:tcW w:type="dxa" w:w="455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hyperlink r:id="rId58">
              <w:r>
                <w:rPr>
                  <w:rStyle w:val="Hyperlink"/>
                  <w:rFonts w:hint="eastAsia"/>
                </w:rPr>
                <w:t xml:space="preserve">知识产权局专利奖公告</w:t>
              </w:r>
            </w:hyperlink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hyperlink r:id="rId39">
              <w:r>
                <w:rPr>
                  <w:rStyle w:val="Hyperlink"/>
                  <w:rFonts w:hint="eastAsia"/>
                </w:rPr>
                <w:t xml:space="preserve">基金委项目清单</w:t>
              </w:r>
            </w:hyperlink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hyperlink r:id="rId41">
              <w:r>
                <w:rPr>
                  <w:rStyle w:val="Hyperlink"/>
                  <w:rFonts w:hint="eastAsia"/>
                </w:rPr>
                <w:t xml:space="preserve">高校授权专利清单</w:t>
              </w:r>
            </w:hyperlink>
          </w:p>
        </w:tc>
        <w:tc>
          <w:tcPr>
            <w:tcW w:type="dxa" w:w="367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非论文实测所用公开资料，分别保留来源</w:t>
            </w:r>
          </w:p>
        </w:tc>
      </w:tr>
      <w:tr>
        <w:trPr/>
        <w:tc>
          <w:tcPr>
            <w:tcW w:type="dxa" w:w="140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E1</w:t>
            </w:r>
          </w:p>
        </w:tc>
        <w:tc>
          <w:tcPr>
            <w:tcW w:type="dxa" w:w="455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Crossref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两轮采集实验记录及反例，原件待补</w:t>
            </w:r>
          </w:p>
        </w:tc>
        <w:tc>
          <w:tcPr>
            <w:tcW w:type="dxa" w:w="367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定向采集方法、接口响应及字段检查的记录</w:t>
            </w:r>
          </w:p>
        </w:tc>
      </w:tr>
      <w:tr>
        <w:trPr/>
        <w:tc>
          <w:tcPr>
            <w:tcW w:type="dxa" w:w="140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E2</w:t>
            </w:r>
          </w:p>
        </w:tc>
        <w:tc>
          <w:tcPr>
            <w:tcW w:type="dxa" w:w="455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非论文采集与校验记录，原件待补</w:t>
            </w:r>
          </w:p>
        </w:tc>
        <w:tc>
          <w:tcPr>
            <w:tcW w:type="dxa" w:w="367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三组指定来源、补充专利及展示样本的记录</w:t>
            </w:r>
          </w:p>
        </w:tc>
      </w:tr>
      <w:tr>
        <w:trPr/>
        <w:tc>
          <w:tcPr>
            <w:tcW w:type="dxa" w:w="140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C1</w:t>
            </w:r>
          </w:p>
        </w:tc>
        <w:tc>
          <w:tcPr>
            <w:tcW w:type="dxa" w:w="455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hyperlink r:id="rId59">
              <w:r>
                <w:rPr>
                  <w:rStyle w:val="Hyperlink"/>
                  <w:rFonts w:hint="eastAsia"/>
                </w:rPr>
                <w:t xml:space="preserve">核心模块</w:t>
              </w:r>
              <w:r>
                <w:rPr>
                  <w:rStyle w:val="Hyperlink"/>
                </w:rPr>
                <w:t xml:space="preserve"> SPEC v0.1 </w:t>
              </w:r>
              <w:r>
                <w:rPr>
                  <w:rStyle w:val="Hyperlink"/>
                  <w:rFonts w:hint="eastAsia"/>
                </w:rPr>
                <w:t xml:space="preserve">会前评审稿</w:t>
              </w:r>
            </w:hyperlink>
          </w:p>
        </w:tc>
        <w:tc>
          <w:tcPr>
            <w:tcW w:type="dxa" w:w="367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五模块职责、候选规则和待评审事项</w:t>
            </w:r>
          </w:p>
        </w:tc>
      </w:tr>
      <w:tr>
        <w:trPr/>
        <w:tc>
          <w:tcPr>
            <w:tcW w:type="dxa" w:w="140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C2</w:t>
            </w:r>
          </w:p>
        </w:tc>
        <w:tc>
          <w:tcPr>
            <w:tcW w:type="dxa" w:w="455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hyperlink r:id="rId60">
              <w:r>
                <w:rPr>
                  <w:rStyle w:val="Hyperlink"/>
                  <w:rFonts w:hint="eastAsia"/>
                </w:rPr>
                <w:t xml:space="preserve">采集任务状态图</w:t>
              </w:r>
            </w:hyperlink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hyperlink r:id="rId61">
              <w:r>
                <w:rPr>
                  <w:rStyle w:val="Hyperlink"/>
                  <w:rFonts w:hint="eastAsia"/>
                </w:rPr>
                <w:t xml:space="preserve">认领状态图</w:t>
              </w:r>
            </w:hyperlink>
            <w:r>
              <w:rPr>
                <w:rFonts w:hint="eastAsia" w:ascii="宋体" w:hAnsi="宋体" w:eastAsia="宋体"/>
                <w:color w:val="000000"/>
                <w:sz w:val="18"/>
              </w:rPr>
              <w:t>；文字说明待补</w:t>
            </w:r>
          </w:p>
        </w:tc>
        <w:tc>
          <w:tcPr>
            <w:tcW w:type="dxa" w:w="367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生命周期及异常处理参考</w:t>
            </w:r>
          </w:p>
        </w:tc>
      </w:tr>
      <w:tr>
        <w:trPr/>
        <w:tc>
          <w:tcPr>
            <w:tcW w:type="dxa" w:w="140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C3</w:t>
            </w:r>
          </w:p>
        </w:tc>
        <w:tc>
          <w:tcPr>
            <w:tcW w:type="dxa" w:w="455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hyperlink r:id="rId62">
              <w:r>
                <w:rPr>
                  <w:rStyle w:val="Hyperlink"/>
                  <w:rFonts w:hint="eastAsia"/>
                </w:rPr>
                <w:t xml:space="preserve">门户认领活动图</w:t>
              </w:r>
            </w:hyperlink>
            <w:r>
              <w:rPr>
                <w:rFonts w:hint="eastAsia" w:ascii="宋体" w:hAnsi="宋体" w:eastAsia="宋体"/>
                <w:color w:val="000000"/>
                <w:sz w:val="18"/>
              </w:rPr>
              <w:t>与</w:t>
            </w:r>
            <w:hyperlink r:id="rId63">
              <w:r>
                <w:rPr>
                  <w:rStyle w:val="Hyperlink"/>
                  <w:rFonts w:hint="eastAsia"/>
                </w:rPr>
                <w:t xml:space="preserve">简版申请状态图</w:t>
              </w:r>
            </w:hyperlink>
          </w:p>
        </w:tc>
        <w:tc>
          <w:tcPr>
            <w:tcW w:type="dxa" w:w="367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角色交接、重复申请与授权边界审阅</w:t>
            </w:r>
          </w:p>
        </w:tc>
      </w:tr>
      <w:tr>
        <w:trPr/>
        <w:tc>
          <w:tcPr>
            <w:tcW w:type="dxa" w:w="140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C4</w:t>
            </w:r>
          </w:p>
        </w:tc>
        <w:tc>
          <w:tcPr>
            <w:tcW w:type="dxa" w:w="455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hyperlink r:id="rId64">
              <w:r>
                <w:rPr>
                  <w:rStyle w:val="Hyperlink"/>
                  <w:rFonts w:hint="eastAsia"/>
                </w:rPr>
                <w:t xml:space="preserve">总体用例图</w:t>
              </w:r>
            </w:hyperlink>
          </w:p>
        </w:tc>
        <w:tc>
          <w:tcPr>
            <w:tcW w:type="dxa" w:w="367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系统能力分组参考，未直接采纳全部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UML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关系</w:t>
            </w:r>
          </w:p>
        </w:tc>
      </w:tr>
    </w:tbl>
    <w:bookmarkStart w:id="65" w:name="版本记录"/>
    <w:p>
      <w:pPr>
        <w:pStyle w:val="Heading3"/>
        <w:keepNext/>
        <w:widowControl/>
        <w:spacing w:after="100" w:line="288" w:lineRule="auto" w:before="200"/>
      </w:pPr>
      <w:r>
        <w:rPr>
          <w:rFonts w:hint="eastAsia"/>
        </w:rPr>
        <w:t>版本记录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30"/>
        <w:gridCol w:w="2532"/>
        <w:gridCol w:w="5576"/>
      </w:tblGrid>
      <w:tr>
        <w:trPr>
          <w:tblHeader w:val="on"/>
          <w:tblHeader/>
        </w:trPr>
        <w:tc>
          <w:tcPr>
            <w:tcW w:type="dxa" w:w="153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版本</w:t>
            </w:r>
          </w:p>
        </w:tc>
        <w:tc>
          <w:tcPr>
            <w:tcW w:type="dxa" w:w="253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日期</w:t>
            </w:r>
          </w:p>
        </w:tc>
        <w:tc>
          <w:tcPr>
            <w:tcW w:type="dxa" w:w="557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变更</w:t>
            </w:r>
          </w:p>
        </w:tc>
      </w:tr>
      <w:tr>
        <w:trPr/>
        <w:tc>
          <w:tcPr>
            <w:tcW w:type="dxa" w:w="153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v1.0</w:t>
            </w:r>
          </w:p>
        </w:tc>
        <w:tc>
          <w:tcPr>
            <w:tcW w:type="dxa" w:w="253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2026-10-10</w:t>
            </w:r>
          </w:p>
        </w:tc>
        <w:tc>
          <w:tcPr>
            <w:tcW w:type="dxa" w:w="557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合并角色分析、平台比较、数据来源、分类与更新方案、科研资料利用需求，补充实验材料状态</w:t>
            </w:r>
          </w:p>
        </w:tc>
      </w:tr>
      <w:tr>
        <w:trPr/>
        <w:tc>
          <w:tcPr>
            <w:tcW w:type="dxa" w:w="153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v1.1</w:t>
            </w:r>
          </w:p>
        </w:tc>
        <w:tc>
          <w:tcPr>
            <w:tcW w:type="dxa" w:w="253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2026-10-10</w:t>
            </w:r>
          </w:p>
        </w:tc>
        <w:tc>
          <w:tcPr>
            <w:tcW w:type="dxa" w:w="557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整理提交稿，精简重复说明，统一术语和材料引用</w:t>
            </w:r>
          </w:p>
        </w:tc>
      </w:tr>
    </w:tbl>
    <w:bookmarkEnd w:id="65"/>
    <w:bookmarkEnd w:id="66"/>
    <w:sectPr w:rsidR="00FC693F" w:rsidRPr="0006063C" w:rsidSect="00034616">
      <w:headerReference w:type="default" r:id="rId9"/>
      <w:footerReference w:type="default" r:id="rId10"/>
      <w:pgSz w:h="16838" w:w="11906"/>
      <w:pgMar w:bottom="1134" w:footer="454" w:gutter="0" w:header="454" w:left="1134" w:right="1134" w:top="1191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/>
    <w: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6"/>
      </w:rPr>
      <w:t>软件系统分析与设计  学术成果检索与分享平台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宋体" w:eastAsia="宋体" w:hAnsi="宋体"/>
      <w:b w:val="0"/>
      <w:color w:val="000000"/>
      <w:sz w:val="21"/>
      <w:rFonts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黑体" w:asciiTheme="majorHAnsi" w:cstheme="majorBidi" w:eastAsia="黑体" w:eastAsiaTheme="majorEastAsia" w:hAnsi="黑体" w:hAnsiTheme="majorHAnsi"/>
      <w:b/>
      <w:bCs/>
      <w:i w:val="0"/>
      <w:color w:val="000000"/>
      <w:sz w:val="32"/>
      <w:szCs w:val="28"/>
      <w:rFonts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黑体" w:asciiTheme="majorHAnsi" w:cstheme="majorBidi" w:eastAsia="黑体" w:eastAsiaTheme="majorEastAsia" w:hAnsi="黑体" w:hAnsiTheme="majorHAnsi"/>
      <w:b/>
      <w:bCs/>
      <w:i w:val="0"/>
      <w:color w:val="000000"/>
      <w:sz w:val="26"/>
      <w:szCs w:val="26"/>
      <w:rFonts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黑体" w:asciiTheme="majorHAnsi" w:cstheme="majorBidi" w:eastAsia="黑体" w:eastAsiaTheme="majorEastAsia" w:hAnsi="黑体" w:hAnsiTheme="majorHAnsi"/>
      <w:b/>
      <w:bCs/>
      <w:i w:val="0"/>
      <w:color w:val="000000"/>
      <w:sz w:val="22"/>
      <w:rFonts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="黑体" w:asciiTheme="majorHAnsi" w:cstheme="majorBidi" w:eastAsia="黑体" w:eastAsiaTheme="majorEastAsia" w:hAnsi="黑体" w:hAnsiTheme="majorHAnsi"/>
      <w:b/>
      <w:bCs/>
      <w:i w:val="0"/>
      <w:iCs/>
      <w:color w:val="000000"/>
      <w:sz w:val="21"/>
      <w:rFonts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 w:val="0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 w:val="0"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 w:val="0"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i w:val="0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 w:val="0"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i w:val="0"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i w:val="0"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i w:val="0"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黑体" w:asciiTheme="majorHAnsi" w:cstheme="majorBidi" w:eastAsia="黑体" w:eastAsiaTheme="majorEastAsia" w:hAnsi="黑体" w:hAnsiTheme="majorHAnsi"/>
      <w:b w:val="0"/>
      <w:i w:val="0"/>
      <w:color w:val="000000"/>
      <w:spacing w:val="5"/>
      <w:kern w:val="28"/>
      <w:sz w:val="40"/>
      <w:szCs w:val="52"/>
      <w:rFonts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宋体" w:asciiTheme="majorHAnsi" w:cstheme="majorBidi" w:eastAsia="宋体" w:eastAsiaTheme="majorEastAsia" w:hAnsi="宋体" w:hAnsiTheme="majorHAnsi"/>
      <w:b w:val="0"/>
      <w:i w:val="0"/>
      <w:iCs/>
      <w:color w:val="000000"/>
      <w:spacing w:val="15"/>
      <w:sz w:val="22"/>
      <w:szCs w:val="24"/>
      <w:rFonts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 w:val="0"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i w:val="0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 w:val="0"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 w:val="0"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i w:val="0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 w:val="0"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SourceCode" w:type="paragraph">
    <w:name w:val="Source Code"/>
    <w:rPr>
      <w:rFonts w:ascii="Consolas" w:eastAsia="Consolas" w:hAnsi="Consolas"/>
      <w:b w:val="0"/>
      <w:color w:val="000000"/>
      <w:sz w:val="16"/>
      <w:rFonts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9" Type="http://schemas.openxmlformats.org/officeDocument/2006/relationships/hyperlink" Target="../&#21442;&#32771;&#38468;&#20214;/01-SPEC&#20250;&#21069;&#35780;&#23457;&#31295;-9&#32452;-1011101011.md" TargetMode="External"/><Relationship Id="rId63" Type="http://schemas.openxmlformats.org/officeDocument/2006/relationships/hyperlink" Target="../&#21442;&#32771;&#38468;&#20214;/02-&#20010;&#20154;&#38376;&#25143;&#35748;&#39046;&#30003;&#35831;&#29366;&#24577;&#22270;-9&#32452;-1011101011.png" TargetMode="External"/><Relationship Id="rId60" Type="http://schemas.openxmlformats.org/officeDocument/2006/relationships/hyperlink" Target="../&#21442;&#32771;&#38468;&#20214;/04-&#25968;&#25454;&#37319;&#38598;&#20219;&#21153;&#29366;&#24577;&#26426;.drawio-9&#32452;-1011101011.png" TargetMode="External"/><Relationship Id="rId62" Type="http://schemas.openxmlformats.org/officeDocument/2006/relationships/hyperlink" Target="../&#21442;&#32771;&#38468;&#20214;/05-&#31185;&#30740;&#20154;&#21592;&#20010;&#20154;&#38376;&#25143;&#35748;&#39046;&#23457;&#26680;&#27969;&#31243;&#27963;&#21160;&#22270;-9&#32452;-1011101011.png" TargetMode="External"/><Relationship Id="rId64" Type="http://schemas.openxmlformats.org/officeDocument/2006/relationships/hyperlink" Target="../&#21442;&#32771;&#38468;&#20214;/07-academic_platform_usecase-9&#32452;-1011101011.drawio" TargetMode="External"/><Relationship Id="rId61" Type="http://schemas.openxmlformats.org/officeDocument/2006/relationships/hyperlink" Target="../&#21442;&#32771;&#38468;&#20214;/07-&#35748;&#39046;&#29366;&#24577;&#22270;.drawio-9&#32452;-1011101011.png" TargetMode="External"/><Relationship Id="rId31" Type="http://schemas.openxmlformats.org/officeDocument/2006/relationships/hyperlink" Target="../&#21442;&#32771;&#38468;&#20214;/90-&#23398;&#26415;&#25104;&#26524;&#20998;&#20139;&#24179;&#21488;&#38656;&#27714;&#35843;&#30740;&#25253;&#21578;.md" TargetMode="External"/><Relationship Id="rId12" Type="http://schemas.openxmlformats.org/officeDocument/2006/relationships/hyperlink" Target="../&#25991;&#26412;&#28304;&#31295;/02-&#31995;&#32479;&#38656;&#27714;&#35268;&#26684;&#35828;&#26126;&#20070;_SRS-9&#32452;-1011101011.md" TargetMode="External"/><Relationship Id="rId13" Type="http://schemas.openxmlformats.org/officeDocument/2006/relationships/hyperlink" Target="../&#25991;&#26412;&#28304;&#31295;/03-&#26680;&#24515;&#27169;&#22359;&#24320;&#21457;&#35268;&#33539;_SPEC-9&#32452;-1011101011.md" TargetMode="External"/><Relationship Id="rId48" Type="http://schemas.openxmlformats.org/officeDocument/2006/relationships/hyperlink" Target="../&#25991;&#26412;&#28304;&#31295;/04-&#25972;&#21512;&#35828;&#26126;-9&#32452;-1011101011.md" TargetMode="External"/><Relationship Id="rId47" Type="http://schemas.openxmlformats.org/officeDocument/2006/relationships/hyperlink" Target="https://community.crossref.org/t/get-works-by-category-name/5799" TargetMode="External"/><Relationship Id="rId28" Type="http://schemas.openxmlformats.org/officeDocument/2006/relationships/hyperlink" Target="https://dblp.dagstuhl.de/" TargetMode="External"/><Relationship Id="rId29" Type="http://schemas.openxmlformats.org/officeDocument/2006/relationships/hyperlink" Target="https://dblp.org/faq/1474679.html" TargetMode="External"/><Relationship Id="rId26" Type="http://schemas.openxmlformats.org/officeDocument/2006/relationships/hyperlink" Target="https://help.openalex.org/data/" TargetMode="External"/><Relationship Id="rId27" Type="http://schemas.openxmlformats.org/officeDocument/2006/relationships/hyperlink" Target="https://help.openalex.org/how-to/" TargetMode="External"/><Relationship Id="rId23" Type="http://schemas.openxmlformats.org/officeDocument/2006/relationships/hyperlink" Target="https://scholar.google.com/intl/en/scholar/citations.html" TargetMode="External"/><Relationship Id="rId41" Type="http://schemas.openxmlformats.org/officeDocument/2006/relationships/hyperlink" Target="https://sites.lynu.edu.cn/kycx/info/1221/5141.htm" TargetMode="External"/><Relationship Id="rId30" Type="http://schemas.openxmlformats.org/officeDocument/2006/relationships/hyperlink" Target="https://support.orcid.org/hc/en-us/articles/360006973133-Add-works-to-your-ORCID-record" TargetMode="External"/><Relationship Id="rId37" Type="http://schemas.openxmlformats.org/officeDocument/2006/relationships/hyperlink" Target="https://unpaywall.org/api/v2" TargetMode="External"/><Relationship Id="rId24" Type="http://schemas.openxmlformats.org/officeDocument/2006/relationships/hyperlink" Target="https://webflow.semanticscholar.org/author" TargetMode="External"/><Relationship Id="rId25" Type="http://schemas.openxmlformats.org/officeDocument/2006/relationships/hyperlink" Target="https://webflow.semanticscholar.org/faq" TargetMode="External"/><Relationship Id="rId38" Type="http://schemas.openxmlformats.org/officeDocument/2006/relationships/hyperlink" Target="https://www.cnipa.gov.cn/art/2023/2/13/art_3166_182074.html" TargetMode="External"/><Relationship Id="rId58" Type="http://schemas.openxmlformats.org/officeDocument/2006/relationships/hyperlink" Target="https://www.cnipa.gov.cn/art/2025/6/5/art_552_199973.html" TargetMode="External"/><Relationship Id="rId46" Type="http://schemas.openxmlformats.org/officeDocument/2006/relationships/hyperlink" Target="https://www.crossref.org/blog/subject-codes-incomplete-and-unreliable-have-got-to-go/" TargetMode="External"/><Relationship Id="rId36" Type="http://schemas.openxmlformats.org/officeDocument/2006/relationships/hyperlink" Target="https://www.crossref.org/documentation/retrieve-metadata/rest-api/" TargetMode="External"/><Relationship Id="rId56" Type="http://schemas.openxmlformats.org/officeDocument/2006/relationships/hyperlink" Target="https://www.crossref.org/services/cited-by" TargetMode="External"/><Relationship Id="rId44" Type="http://schemas.openxmlformats.org/officeDocument/2006/relationships/hyperlink" Target="https://www.moe.gov.cn/jyb_xwfb/moe_2082/2022/2022_zl24/" TargetMode="External"/><Relationship Id="rId40" Type="http://schemas.openxmlformats.org/officeDocument/2006/relationships/hyperlink" Target="https://www.most.gov.cn/cxfw/kjjlcx/kjjl2023/202406/t20240624_191176.html" TargetMode="External"/><Relationship Id="rId39" Type="http://schemas.openxmlformats.org/officeDocument/2006/relationships/hyperlink" Target="https://www.nsfc.gov.cn/p1/2853/3102/72645.html" TargetMode="External"/><Relationship Id="rId57" Type="http://schemas.openxmlformats.org/officeDocument/2006/relationships/hyperlink" Target="https://www.nsfc.gov.cn/p1/3281/3285/100464.html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59" Type="http://schemas.openxmlformats.org/officeDocument/2006/relationships/hyperlink" Target="../&#25991;&#26412;&#28304;&#31295;/../&#21442;&#32771;&#38468;&#20214;/01-SPEC&#20250;&#21069;&#35780;&#23457;&#31295;-&#32452;&#21495;&#24453;&#22635;-&#22242;&#38431;&#21517;&#24453;&#22635;.md" TargetMode="External"/><Relationship Id="rId63" Type="http://schemas.openxmlformats.org/officeDocument/2006/relationships/hyperlink" Target="../&#25991;&#26412;&#28304;&#31295;/../&#21442;&#32771;&#38468;&#20214;/02-&#20010;&#20154;&#38376;&#25143;&#35748;&#39046;&#30003;&#35831;&#29366;&#24577;&#22270;-&#32452;&#21495;&#24453;&#22635;-&#22242;&#38431;&#21517;&#24453;&#22635;.png" TargetMode="External"/><Relationship Id="rId60" Type="http://schemas.openxmlformats.org/officeDocument/2006/relationships/hyperlink" Target="../&#25991;&#26412;&#28304;&#31295;/../&#21442;&#32771;&#38468;&#20214;/04-&#25968;&#25454;&#37319;&#38598;&#20219;&#21153;&#29366;&#24577;&#26426;.drawio-&#32452;&#21495;&#24453;&#22635;-&#22242;&#38431;&#21517;&#24453;&#22635;.png" TargetMode="External"/><Relationship Id="rId62" Type="http://schemas.openxmlformats.org/officeDocument/2006/relationships/hyperlink" Target="../&#25991;&#26412;&#28304;&#31295;/../&#21442;&#32771;&#38468;&#20214;/05-&#31185;&#30740;&#20154;&#21592;&#20010;&#20154;&#38376;&#25143;&#35748;&#39046;&#23457;&#26680;&#27969;&#31243;&#27963;&#21160;&#22270;-&#32452;&#21495;&#24453;&#22635;-&#22242;&#38431;&#21517;&#24453;&#22635;.png" TargetMode="External"/><Relationship Id="rId64" Type="http://schemas.openxmlformats.org/officeDocument/2006/relationships/hyperlink" Target="../&#25991;&#26412;&#28304;&#31295;/../&#21442;&#32771;&#38468;&#20214;/07-academic_platform_usecase-&#32452;&#21495;&#24453;&#22635;-&#22242;&#38431;&#21517;&#24453;&#22635;.drawio" TargetMode="External"/><Relationship Id="rId61" Type="http://schemas.openxmlformats.org/officeDocument/2006/relationships/hyperlink" Target="../&#25991;&#26412;&#28304;&#31295;/../&#21442;&#32771;&#38468;&#20214;/07-&#35748;&#39046;&#29366;&#24577;&#22270;.drawio-&#32452;&#21495;&#24453;&#22635;-&#22242;&#38431;&#21517;&#24453;&#22635;.png" TargetMode="External"/><Relationship Id="rId31" Type="http://schemas.openxmlformats.org/officeDocument/2006/relationships/hyperlink" Target="../&#25991;&#26412;&#28304;&#31295;/../&#21442;&#32771;&#38468;&#20214;/90-&#23398;&#26415;&#25104;&#26524;&#20998;&#20139;&#24179;&#21488;&#38656;&#27714;&#35843;&#30740;&#25253;&#21578;.md" TargetMode="External"/><Relationship Id="rId12" Type="http://schemas.openxmlformats.org/officeDocument/2006/relationships/hyperlink" Target="../&#25991;&#26412;&#28304;&#31295;/02-&#31995;&#32479;&#38656;&#27714;&#35268;&#26684;&#35828;&#26126;&#20070;_SRS-&#32452;&#21495;&#24453;&#22635;-&#22242;&#38431;&#21517;&#24453;&#22635;.md" TargetMode="External"/><Relationship Id="rId13" Type="http://schemas.openxmlformats.org/officeDocument/2006/relationships/hyperlink" Target="../&#25991;&#26412;&#28304;&#31295;/03-&#26680;&#24515;&#27169;&#22359;&#24320;&#21457;&#35268;&#33539;_SPEC-&#32452;&#21495;&#24453;&#22635;-&#22242;&#38431;&#21517;&#24453;&#22635;.md" TargetMode="External"/><Relationship Id="rId48" Type="http://schemas.openxmlformats.org/officeDocument/2006/relationships/hyperlink" Target="../&#25991;&#26412;&#28304;&#31295;/04-&#25972;&#21512;&#35828;&#26126;-&#32452;&#21495;&#24453;&#22635;-&#22242;&#38431;&#21517;&#24453;&#22635;.md" TargetMode="External"/><Relationship Id="rId47" Type="http://schemas.openxmlformats.org/officeDocument/2006/relationships/hyperlink" Target="https://community.crossref.org/t/get-works-by-category-name/5799" TargetMode="External"/><Relationship Id="rId28" Type="http://schemas.openxmlformats.org/officeDocument/2006/relationships/hyperlink" Target="https://dblp.dagstuhl.de/" TargetMode="External"/><Relationship Id="rId29" Type="http://schemas.openxmlformats.org/officeDocument/2006/relationships/hyperlink" Target="https://dblp.org/faq/1474679.html" TargetMode="External"/><Relationship Id="rId26" Type="http://schemas.openxmlformats.org/officeDocument/2006/relationships/hyperlink" Target="https://help.openalex.org/data/" TargetMode="External"/><Relationship Id="rId27" Type="http://schemas.openxmlformats.org/officeDocument/2006/relationships/hyperlink" Target="https://help.openalex.org/how-to/" TargetMode="External"/><Relationship Id="rId23" Type="http://schemas.openxmlformats.org/officeDocument/2006/relationships/hyperlink" Target="https://scholar.google.com/intl/en/scholar/citations.html" TargetMode="External"/><Relationship Id="rId41" Type="http://schemas.openxmlformats.org/officeDocument/2006/relationships/hyperlink" Target="https://sites.lynu.edu.cn/kycx/info/1221/5141.htm" TargetMode="External"/><Relationship Id="rId30" Type="http://schemas.openxmlformats.org/officeDocument/2006/relationships/hyperlink" Target="https://support.orcid.org/hc/en-us/articles/360006973133-Add-works-to-your-ORCID-record" TargetMode="External"/><Relationship Id="rId37" Type="http://schemas.openxmlformats.org/officeDocument/2006/relationships/hyperlink" Target="https://unpaywall.org/api/v2" TargetMode="External"/><Relationship Id="rId24" Type="http://schemas.openxmlformats.org/officeDocument/2006/relationships/hyperlink" Target="https://webflow.semanticscholar.org/author" TargetMode="External"/><Relationship Id="rId25" Type="http://schemas.openxmlformats.org/officeDocument/2006/relationships/hyperlink" Target="https://webflow.semanticscholar.org/faq" TargetMode="External"/><Relationship Id="rId38" Type="http://schemas.openxmlformats.org/officeDocument/2006/relationships/hyperlink" Target="https://www.cnipa.gov.cn/art/2023/2/13/art_3166_182074.html" TargetMode="External"/><Relationship Id="rId58" Type="http://schemas.openxmlformats.org/officeDocument/2006/relationships/hyperlink" Target="https://www.cnipa.gov.cn/art/2025/6/5/art_552_199973.html" TargetMode="External"/><Relationship Id="rId46" Type="http://schemas.openxmlformats.org/officeDocument/2006/relationships/hyperlink" Target="https://www.crossref.org/blog/subject-codes-incomplete-and-unreliable-have-got-to-go/" TargetMode="External"/><Relationship Id="rId36" Type="http://schemas.openxmlformats.org/officeDocument/2006/relationships/hyperlink" Target="https://www.crossref.org/documentation/retrieve-metadata/rest-api/" TargetMode="External"/><Relationship Id="rId56" Type="http://schemas.openxmlformats.org/officeDocument/2006/relationships/hyperlink" Target="https://www.crossref.org/services/cited-by" TargetMode="External"/><Relationship Id="rId44" Type="http://schemas.openxmlformats.org/officeDocument/2006/relationships/hyperlink" Target="https://www.moe.gov.cn/jyb_xwfb/moe_2082/2022/2022_zl24/" TargetMode="External"/><Relationship Id="rId40" Type="http://schemas.openxmlformats.org/officeDocument/2006/relationships/hyperlink" Target="https://www.most.gov.cn/cxfw/kjjlcx/kjjl2023/202406/t20240624_191176.html" TargetMode="External"/><Relationship Id="rId39" Type="http://schemas.openxmlformats.org/officeDocument/2006/relationships/hyperlink" Target="https://www.nsfc.gov.cn/p1/2853/3102/72645.html" TargetMode="External"/><Relationship Id="rId57" Type="http://schemas.openxmlformats.org/officeDocument/2006/relationships/hyperlink" Target="https://www.nsfc.gov.cn/p1/3281/3285/100464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调研支撑材料摘编</dc:title>
  <dc:creator>9组 1011101011</dc:creator>
  <cp:keywords/>
  <dcterms:created xsi:type="dcterms:W3CDTF">2026-10-12T08:13:06Z</dcterms:created>
  <dcterms:modified xsi:type="dcterms:W3CDTF">2026-10-12T08:13:06Z</dcterms:modified>
  <dc:subject>提交材料格式整理</dc:subject>
  <dc:description>源正文 v1.1；整理日期 2026-10-12；人工审核待完成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