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sz w:val="32"/>
        </w:rPr>
        <w:t>《软件系统分析与设计》课程实践（一）</w:t>
      </w:r>
    </w:p>
    <w:p>
      <w:pPr>
        <w:spacing w:before="1200"/>
        <w:jc w:val="center"/>
      </w:pPr>
      <w:r>
        <w:rPr>
          <w:rFonts w:ascii="黑体" w:hAnsi="黑体" w:eastAsia="黑体"/>
          <w:b/>
          <w:sz w:val="52"/>
        </w:rPr>
        <w:t>学术成果分享平台</w:t>
      </w:r>
    </w:p>
    <w:p>
      <w:pPr>
        <w:jc w:val="center"/>
      </w:pPr>
      <w:r>
        <w:rPr>
          <w:rFonts w:ascii="黑体" w:hAnsi="黑体" w:eastAsia="黑体"/>
          <w:b/>
          <w:sz w:val="40"/>
        </w:rPr>
        <w:t>核心模块开发规范（SPEC）</w:t>
      </w:r>
    </w:p>
    <w:p>
      <w:pPr>
        <w:spacing w:before="1600"/>
        <w:jc w:val="center"/>
      </w:pPr>
      <w:r>
        <w:rPr>
          <w:rFonts w:ascii="宋体" w:hAnsi="宋体" w:eastAsia="宋体"/>
          <w:sz w:val="24"/>
        </w:rPr>
        <w:t>版本：V1.0</w:t>
        <w:br/>
        <w:t>适用阶段：规范驱动开发与需求建模评审</w:t>
        <w:br/>
        <w:t>编制日期：2026年9月26日</w:t>
      </w:r>
    </w:p>
    <w:p>
      <w:r>
        <w:br w:type="page"/>
      </w:r>
    </w:p>
    <w:p>
      <w:r>
        <w:rPr>
          <w:b/>
        </w:rPr>
        <w:t>目录说明</w:t>
      </w:r>
    </w:p>
    <w:p>
      <w:r>
        <w:t>本文件采用章节标题组织内容。正式提交时，可以在 Microsoft Word 中执行“引用—目录—自动目录”生成目录。</w:t>
      </w:r>
    </w:p>
    <w:p>
      <w:r>
        <w:br w:type="page"/>
      </w:r>
    </w:p>
    <w:p>
      <w:pPr>
        <w:pStyle w:val="Heading1"/>
      </w:pPr>
      <w:r>
        <w:t>1. 文档说明</w:t>
      </w:r>
    </w:p>
    <w:p>
      <w:r>
        <w:t>本文件规定学术成果分享平台核心模块的开发规范。每一项规范均包括功能目标、输入输出、处理流程、算法规则、异常处理、审计要求、接口约束、验收标准和测试要求。后续编码实现需要在提交说明中标注对应的 SPEC 编号。</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351"/>
            <w:shd w:fill="D9EAF7"/>
            <w:vAlign w:val="center"/>
          </w:tcPr>
          <w:p>
            <w:pPr>
              <w:jc w:val="center"/>
            </w:pPr>
            <w:r>
              <w:rPr>
                <w:rFonts w:ascii="宋体" w:hAnsi="宋体" w:eastAsia="宋体"/>
                <w:b/>
                <w:sz w:val="17"/>
              </w:rPr>
              <w:t>规范编号</w:t>
            </w:r>
          </w:p>
        </w:tc>
        <w:tc>
          <w:tcPr>
            <w:tcW w:type="dxa" w:w="2351"/>
            <w:shd w:fill="D9EAF7"/>
            <w:vAlign w:val="center"/>
          </w:tcPr>
          <w:p>
            <w:pPr>
              <w:jc w:val="center"/>
            </w:pPr>
            <w:r>
              <w:rPr>
                <w:rFonts w:ascii="宋体" w:hAnsi="宋体" w:eastAsia="宋体"/>
                <w:b/>
                <w:sz w:val="17"/>
              </w:rPr>
              <w:t>规范名称</w:t>
            </w:r>
          </w:p>
        </w:tc>
        <w:tc>
          <w:tcPr>
            <w:tcW w:type="dxa" w:w="2351"/>
            <w:shd w:fill="D9EAF7"/>
            <w:vAlign w:val="center"/>
          </w:tcPr>
          <w:p>
            <w:pPr>
              <w:jc w:val="center"/>
            </w:pPr>
            <w:r>
              <w:rPr>
                <w:rFonts w:ascii="宋体" w:hAnsi="宋体" w:eastAsia="宋体"/>
                <w:b/>
                <w:sz w:val="17"/>
              </w:rPr>
              <w:t>对应模块</w:t>
            </w:r>
          </w:p>
        </w:tc>
        <w:tc>
          <w:tcPr>
            <w:tcW w:type="dxa" w:w="2351"/>
            <w:shd w:fill="D9EAF7"/>
            <w:vAlign w:val="center"/>
          </w:tcPr>
          <w:p>
            <w:pPr>
              <w:jc w:val="center"/>
            </w:pPr>
            <w:r>
              <w:rPr>
                <w:rFonts w:ascii="宋体" w:hAnsi="宋体" w:eastAsia="宋体"/>
                <w:b/>
                <w:sz w:val="17"/>
              </w:rPr>
              <w:t>对应需求</w:t>
            </w:r>
          </w:p>
        </w:tc>
      </w:tr>
      <w:tr>
        <w:trPr>
          <w:cantSplit/>
        </w:trPr>
        <w:tc>
          <w:tcPr>
            <w:tcW w:type="dxa" w:w="2351"/>
            <w:vAlign w:val="center"/>
          </w:tcPr>
          <w:p>
            <w:pPr>
              <w:spacing w:after="0"/>
            </w:pPr>
            <w:r>
              <w:rPr>
                <w:rFonts w:ascii="宋体" w:hAnsi="宋体" w:eastAsia="宋体"/>
                <w:sz w:val="17"/>
              </w:rPr>
              <w:t>SPEC-INGEST-01</w:t>
            </w:r>
          </w:p>
        </w:tc>
        <w:tc>
          <w:tcPr>
            <w:tcW w:type="dxa" w:w="2351"/>
            <w:vAlign w:val="center"/>
          </w:tcPr>
          <w:p>
            <w:pPr>
              <w:spacing w:after="0"/>
            </w:pPr>
            <w:r>
              <w:rPr>
                <w:rFonts w:ascii="宋体" w:hAnsi="宋体" w:eastAsia="宋体"/>
                <w:sz w:val="17"/>
              </w:rPr>
              <w:t>数据采集任务规范</w:t>
            </w:r>
          </w:p>
        </w:tc>
        <w:tc>
          <w:tcPr>
            <w:tcW w:type="dxa" w:w="2351"/>
            <w:vAlign w:val="center"/>
          </w:tcPr>
          <w:p>
            <w:pPr>
              <w:spacing w:after="0"/>
            </w:pPr>
            <w:r>
              <w:rPr>
                <w:rFonts w:ascii="宋体" w:hAnsi="宋体" w:eastAsia="宋体"/>
                <w:sz w:val="17"/>
              </w:rPr>
              <w:t>数据采集服务</w:t>
            </w:r>
          </w:p>
        </w:tc>
        <w:tc>
          <w:tcPr>
            <w:tcW w:type="dxa" w:w="2351"/>
            <w:vAlign w:val="center"/>
          </w:tcPr>
          <w:p>
            <w:pPr>
              <w:spacing w:after="0"/>
            </w:pPr>
            <w:r>
              <w:rPr>
                <w:rFonts w:ascii="宋体" w:hAnsi="宋体" w:eastAsia="宋体"/>
                <w:sz w:val="17"/>
              </w:rPr>
              <w:t>FR-01、FR-02、FR-03</w:t>
            </w:r>
          </w:p>
        </w:tc>
      </w:tr>
      <w:tr>
        <w:trPr>
          <w:cantSplit/>
        </w:trPr>
        <w:tc>
          <w:tcPr>
            <w:tcW w:type="dxa" w:w="2351"/>
            <w:vAlign w:val="center"/>
          </w:tcPr>
          <w:p>
            <w:pPr>
              <w:spacing w:after="0"/>
            </w:pPr>
            <w:r>
              <w:rPr>
                <w:rFonts w:ascii="宋体" w:hAnsi="宋体" w:eastAsia="宋体"/>
                <w:sz w:val="17"/>
              </w:rPr>
              <w:t>SPEC-DATA-01</w:t>
            </w:r>
          </w:p>
        </w:tc>
        <w:tc>
          <w:tcPr>
            <w:tcW w:type="dxa" w:w="2351"/>
            <w:vAlign w:val="center"/>
          </w:tcPr>
          <w:p>
            <w:pPr>
              <w:spacing w:after="0"/>
            </w:pPr>
            <w:r>
              <w:rPr>
                <w:rFonts w:ascii="宋体" w:hAnsi="宋体" w:eastAsia="宋体"/>
                <w:sz w:val="17"/>
              </w:rPr>
              <w:t>数据清洗规范</w:t>
            </w:r>
          </w:p>
        </w:tc>
        <w:tc>
          <w:tcPr>
            <w:tcW w:type="dxa" w:w="2351"/>
            <w:vAlign w:val="center"/>
          </w:tcPr>
          <w:p>
            <w:pPr>
              <w:spacing w:after="0"/>
            </w:pPr>
            <w:r>
              <w:rPr>
                <w:rFonts w:ascii="宋体" w:hAnsi="宋体" w:eastAsia="宋体"/>
                <w:sz w:val="17"/>
              </w:rPr>
              <w:t>数据处理服务</w:t>
            </w:r>
          </w:p>
        </w:tc>
        <w:tc>
          <w:tcPr>
            <w:tcW w:type="dxa" w:w="2351"/>
            <w:vAlign w:val="center"/>
          </w:tcPr>
          <w:p>
            <w:pPr>
              <w:spacing w:after="0"/>
            </w:pPr>
            <w:r>
              <w:rPr>
                <w:rFonts w:ascii="宋体" w:hAnsi="宋体" w:eastAsia="宋体"/>
                <w:sz w:val="17"/>
              </w:rPr>
              <w:t>FR-04、DR-CLN-01 至 DR-CLN-07</w:t>
            </w:r>
          </w:p>
        </w:tc>
      </w:tr>
      <w:tr>
        <w:trPr>
          <w:cantSplit/>
        </w:trPr>
        <w:tc>
          <w:tcPr>
            <w:tcW w:type="dxa" w:w="2351"/>
            <w:vAlign w:val="center"/>
          </w:tcPr>
          <w:p>
            <w:pPr>
              <w:spacing w:after="0"/>
            </w:pPr>
            <w:r>
              <w:rPr>
                <w:rFonts w:ascii="宋体" w:hAnsi="宋体" w:eastAsia="宋体"/>
                <w:sz w:val="17"/>
              </w:rPr>
              <w:t>SPEC-DATA-02</w:t>
            </w:r>
          </w:p>
        </w:tc>
        <w:tc>
          <w:tcPr>
            <w:tcW w:type="dxa" w:w="2351"/>
            <w:vAlign w:val="center"/>
          </w:tcPr>
          <w:p>
            <w:pPr>
              <w:spacing w:after="0"/>
            </w:pPr>
            <w:r>
              <w:rPr>
                <w:rFonts w:ascii="宋体" w:hAnsi="宋体" w:eastAsia="宋体"/>
                <w:sz w:val="17"/>
              </w:rPr>
              <w:t>成果去重规范</w:t>
            </w:r>
          </w:p>
        </w:tc>
        <w:tc>
          <w:tcPr>
            <w:tcW w:type="dxa" w:w="2351"/>
            <w:vAlign w:val="center"/>
          </w:tcPr>
          <w:p>
            <w:pPr>
              <w:spacing w:after="0"/>
            </w:pPr>
            <w:r>
              <w:rPr>
                <w:rFonts w:ascii="宋体" w:hAnsi="宋体" w:eastAsia="宋体"/>
                <w:sz w:val="17"/>
              </w:rPr>
              <w:t>数据处理服务</w:t>
            </w:r>
          </w:p>
        </w:tc>
        <w:tc>
          <w:tcPr>
            <w:tcW w:type="dxa" w:w="2351"/>
            <w:vAlign w:val="center"/>
          </w:tcPr>
          <w:p>
            <w:pPr>
              <w:spacing w:after="0"/>
            </w:pPr>
            <w:r>
              <w:rPr>
                <w:rFonts w:ascii="宋体" w:hAnsi="宋体" w:eastAsia="宋体"/>
                <w:sz w:val="17"/>
              </w:rPr>
              <w:t>FR-05、DR-DUP-01 至 DR-DUP-03</w:t>
            </w:r>
          </w:p>
        </w:tc>
      </w:tr>
      <w:tr>
        <w:trPr>
          <w:cantSplit/>
        </w:trPr>
        <w:tc>
          <w:tcPr>
            <w:tcW w:type="dxa" w:w="2351"/>
            <w:vAlign w:val="center"/>
          </w:tcPr>
          <w:p>
            <w:pPr>
              <w:spacing w:after="0"/>
            </w:pPr>
            <w:r>
              <w:rPr>
                <w:rFonts w:ascii="宋体" w:hAnsi="宋体" w:eastAsia="宋体"/>
                <w:sz w:val="17"/>
              </w:rPr>
              <w:t>SPEC-DATA-03</w:t>
            </w:r>
          </w:p>
        </w:tc>
        <w:tc>
          <w:tcPr>
            <w:tcW w:type="dxa" w:w="2351"/>
            <w:vAlign w:val="center"/>
          </w:tcPr>
          <w:p>
            <w:pPr>
              <w:spacing w:after="0"/>
            </w:pPr>
            <w:r>
              <w:rPr>
                <w:rFonts w:ascii="宋体" w:hAnsi="宋体" w:eastAsia="宋体"/>
                <w:sz w:val="17"/>
              </w:rPr>
              <w:t>作者与机构消歧规范</w:t>
            </w:r>
          </w:p>
        </w:tc>
        <w:tc>
          <w:tcPr>
            <w:tcW w:type="dxa" w:w="2351"/>
            <w:vAlign w:val="center"/>
          </w:tcPr>
          <w:p>
            <w:pPr>
              <w:spacing w:after="0"/>
            </w:pPr>
            <w:r>
              <w:rPr>
                <w:rFonts w:ascii="宋体" w:hAnsi="宋体" w:eastAsia="宋体"/>
                <w:sz w:val="17"/>
              </w:rPr>
              <w:t>数据处理服务</w:t>
            </w:r>
          </w:p>
        </w:tc>
        <w:tc>
          <w:tcPr>
            <w:tcW w:type="dxa" w:w="2351"/>
            <w:vAlign w:val="center"/>
          </w:tcPr>
          <w:p>
            <w:pPr>
              <w:spacing w:after="0"/>
            </w:pPr>
            <w:r>
              <w:rPr>
                <w:rFonts w:ascii="宋体" w:hAnsi="宋体" w:eastAsia="宋体"/>
                <w:sz w:val="17"/>
              </w:rPr>
              <w:t>FR-06、DR-DIS-01、DR-DIS-02</w:t>
            </w:r>
          </w:p>
        </w:tc>
      </w:tr>
      <w:tr>
        <w:trPr>
          <w:cantSplit/>
        </w:trPr>
        <w:tc>
          <w:tcPr>
            <w:tcW w:type="dxa" w:w="2351"/>
            <w:vAlign w:val="center"/>
          </w:tcPr>
          <w:p>
            <w:pPr>
              <w:spacing w:after="0"/>
            </w:pPr>
            <w:r>
              <w:rPr>
                <w:rFonts w:ascii="宋体" w:hAnsi="宋体" w:eastAsia="宋体"/>
                <w:sz w:val="17"/>
              </w:rPr>
              <w:t>SPEC-SEARCH-01</w:t>
            </w:r>
          </w:p>
        </w:tc>
        <w:tc>
          <w:tcPr>
            <w:tcW w:type="dxa" w:w="2351"/>
            <w:vAlign w:val="center"/>
          </w:tcPr>
          <w:p>
            <w:pPr>
              <w:spacing w:after="0"/>
            </w:pPr>
            <w:r>
              <w:rPr>
                <w:rFonts w:ascii="宋体" w:hAnsi="宋体" w:eastAsia="宋体"/>
                <w:sz w:val="17"/>
              </w:rPr>
              <w:t>检索排序规范</w:t>
            </w:r>
          </w:p>
        </w:tc>
        <w:tc>
          <w:tcPr>
            <w:tcW w:type="dxa" w:w="2351"/>
            <w:vAlign w:val="center"/>
          </w:tcPr>
          <w:p>
            <w:pPr>
              <w:spacing w:after="0"/>
            </w:pPr>
            <w:r>
              <w:rPr>
                <w:rFonts w:ascii="宋体" w:hAnsi="宋体" w:eastAsia="宋体"/>
                <w:sz w:val="17"/>
              </w:rPr>
              <w:t>检索服务</w:t>
            </w:r>
          </w:p>
        </w:tc>
        <w:tc>
          <w:tcPr>
            <w:tcW w:type="dxa" w:w="2351"/>
            <w:vAlign w:val="center"/>
          </w:tcPr>
          <w:p>
            <w:pPr>
              <w:spacing w:after="0"/>
            </w:pPr>
            <w:r>
              <w:rPr>
                <w:rFonts w:ascii="宋体" w:hAnsi="宋体" w:eastAsia="宋体"/>
                <w:sz w:val="17"/>
              </w:rPr>
              <w:t>FR-08、FR-09</w:t>
            </w:r>
          </w:p>
        </w:tc>
      </w:tr>
      <w:tr>
        <w:trPr>
          <w:cantSplit/>
        </w:trPr>
        <w:tc>
          <w:tcPr>
            <w:tcW w:type="dxa" w:w="2351"/>
            <w:vAlign w:val="center"/>
          </w:tcPr>
          <w:p>
            <w:pPr>
              <w:spacing w:after="0"/>
            </w:pPr>
            <w:r>
              <w:rPr>
                <w:rFonts w:ascii="宋体" w:hAnsi="宋体" w:eastAsia="宋体"/>
                <w:sz w:val="17"/>
              </w:rPr>
              <w:t>SPEC-QUALITY-01</w:t>
            </w:r>
          </w:p>
        </w:tc>
        <w:tc>
          <w:tcPr>
            <w:tcW w:type="dxa" w:w="2351"/>
            <w:vAlign w:val="center"/>
          </w:tcPr>
          <w:p>
            <w:pPr>
              <w:spacing w:after="0"/>
            </w:pPr>
            <w:r>
              <w:rPr>
                <w:rFonts w:ascii="宋体" w:hAnsi="宋体" w:eastAsia="宋体"/>
                <w:sz w:val="17"/>
              </w:rPr>
              <w:t>数据质量与人工复核规范</w:t>
            </w:r>
          </w:p>
        </w:tc>
        <w:tc>
          <w:tcPr>
            <w:tcW w:type="dxa" w:w="2351"/>
            <w:vAlign w:val="center"/>
          </w:tcPr>
          <w:p>
            <w:pPr>
              <w:spacing w:after="0"/>
            </w:pPr>
            <w:r>
              <w:rPr>
                <w:rFonts w:ascii="宋体" w:hAnsi="宋体" w:eastAsia="宋体"/>
                <w:sz w:val="17"/>
              </w:rPr>
              <w:t>管理后台</w:t>
            </w:r>
          </w:p>
        </w:tc>
        <w:tc>
          <w:tcPr>
            <w:tcW w:type="dxa" w:w="2351"/>
            <w:vAlign w:val="center"/>
          </w:tcPr>
          <w:p>
            <w:pPr>
              <w:spacing w:after="0"/>
            </w:pPr>
            <w:r>
              <w:rPr>
                <w:rFonts w:ascii="宋体" w:hAnsi="宋体" w:eastAsia="宋体"/>
                <w:sz w:val="17"/>
              </w:rPr>
              <w:t>FR-15</w:t>
            </w:r>
          </w:p>
        </w:tc>
      </w:tr>
    </w:tbl>
    <w:p/>
    <w:p>
      <w:pPr>
        <w:pStyle w:val="Heading1"/>
      </w:pPr>
      <w:r>
        <w:t>2. SPEC-INGEST-01 数据采集任务规范</w:t>
      </w:r>
    </w:p>
    <w:p>
      <w:pPr>
        <w:pStyle w:val="Heading2"/>
      </w:pPr>
      <w:r>
        <w:t>2.1 功能目标</w:t>
      </w:r>
    </w:p>
    <w:p>
      <w:r>
        <w:t>数据采集任务模块负责按照管理员配置从公开数据源获取论文、专利和科技奖励数据，并将原始记录保存到原始数据区。模块需要支持任务创建、任务启动、任务停止、失败重试、日志查看和采集结果统计。</w:t>
      </w:r>
    </w:p>
    <w:p>
      <w:pPr>
        <w:pStyle w:val="Heading2"/>
      </w:pPr>
      <w:r>
        <w:t>2.2 输入与输出</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8"/>
              </w:rPr>
              <w:t>类别</w:t>
            </w:r>
          </w:p>
        </w:tc>
        <w:tc>
          <w:tcPr>
            <w:tcW w:type="dxa" w:w="4702"/>
            <w:shd w:fill="D9EAF7"/>
            <w:vAlign w:val="center"/>
          </w:tcPr>
          <w:p>
            <w:pPr>
              <w:jc w:val="center"/>
            </w:pPr>
            <w:r>
              <w:rPr>
                <w:rFonts w:ascii="宋体" w:hAnsi="宋体" w:eastAsia="宋体"/>
                <w:b/>
                <w:sz w:val="18"/>
              </w:rPr>
              <w:t>内容</w:t>
            </w:r>
          </w:p>
        </w:tc>
      </w:tr>
      <w:tr>
        <w:trPr>
          <w:cantSplit/>
        </w:trPr>
        <w:tc>
          <w:tcPr>
            <w:tcW w:type="dxa" w:w="4702"/>
            <w:vAlign w:val="center"/>
          </w:tcPr>
          <w:p>
            <w:pPr>
              <w:spacing w:after="0"/>
            </w:pPr>
            <w:r>
              <w:rPr>
                <w:rFonts w:ascii="宋体" w:hAnsi="宋体" w:eastAsia="宋体"/>
                <w:sz w:val="18"/>
              </w:rPr>
              <w:t>输入</w:t>
            </w:r>
          </w:p>
        </w:tc>
        <w:tc>
          <w:tcPr>
            <w:tcW w:type="dxa" w:w="4702"/>
            <w:vAlign w:val="center"/>
          </w:tcPr>
          <w:p>
            <w:pPr>
              <w:spacing w:after="0"/>
            </w:pPr>
            <w:r>
              <w:rPr>
                <w:rFonts w:ascii="宋体" w:hAnsi="宋体" w:eastAsia="宋体"/>
                <w:sz w:val="18"/>
              </w:rPr>
              <w:t>数据源编号、采集范围、开始时间、结束时间、分页游标、访问频率、字段映射版本、任务执行方式。</w:t>
            </w:r>
          </w:p>
        </w:tc>
      </w:tr>
      <w:tr>
        <w:trPr>
          <w:cantSplit/>
        </w:trPr>
        <w:tc>
          <w:tcPr>
            <w:tcW w:type="dxa" w:w="4702"/>
            <w:vAlign w:val="center"/>
          </w:tcPr>
          <w:p>
            <w:pPr>
              <w:spacing w:after="0"/>
            </w:pPr>
            <w:r>
              <w:rPr>
                <w:rFonts w:ascii="宋体" w:hAnsi="宋体" w:eastAsia="宋体"/>
                <w:sz w:val="18"/>
              </w:rPr>
              <w:t>输出</w:t>
            </w:r>
          </w:p>
        </w:tc>
        <w:tc>
          <w:tcPr>
            <w:tcW w:type="dxa" w:w="4702"/>
            <w:vAlign w:val="center"/>
          </w:tcPr>
          <w:p>
            <w:pPr>
              <w:spacing w:after="0"/>
            </w:pPr>
            <w:r>
              <w:rPr>
                <w:rFonts w:ascii="宋体" w:hAnsi="宋体" w:eastAsia="宋体"/>
                <w:sz w:val="18"/>
              </w:rPr>
              <w:t>raw_record、source_record、harvest_log、harvest_task_status、data_quality_issue。</w:t>
            </w:r>
          </w:p>
        </w:tc>
      </w:tr>
    </w:tbl>
    <w:p/>
    <w:p>
      <w:pPr>
        <w:pStyle w:val="Heading2"/>
      </w:pPr>
      <w:r>
        <w:t>2.3 处理流程</w:t>
      </w:r>
    </w:p>
    <w:p>
      <w:pPr>
        <w:pStyle w:val="ListNumber"/>
        <w:spacing w:after="40"/>
      </w:pPr>
      <w:r>
        <w:t>系统读取数据源配置并校验数据源状态。</w:t>
      </w:r>
    </w:p>
    <w:p>
      <w:pPr>
        <w:pStyle w:val="ListNumber"/>
        <w:spacing w:after="40"/>
      </w:pPr>
      <w:r>
        <w:t>系统根据采集范围生成任务执行计划。</w:t>
      </w:r>
    </w:p>
    <w:p>
      <w:pPr>
        <w:pStyle w:val="ListNumber"/>
        <w:spacing w:after="40"/>
      </w:pPr>
      <w:r>
        <w:t>系统按照访问频率向数据源发起请求或者读取数据快照。</w:t>
      </w:r>
    </w:p>
    <w:p>
      <w:pPr>
        <w:pStyle w:val="ListNumber"/>
        <w:spacing w:after="40"/>
      </w:pPr>
      <w:r>
        <w:t>系统保存原始内容摘要、来源记录标识、来源地址、采集时间、来源更新时间和原始校验值。</w:t>
      </w:r>
    </w:p>
    <w:p>
      <w:pPr>
        <w:pStyle w:val="ListNumber"/>
        <w:spacing w:after="40"/>
      </w:pPr>
      <w:r>
        <w:t>系统调用来源适配器完成结构解析并生成 source_record。</w:t>
      </w:r>
    </w:p>
    <w:p>
      <w:pPr>
        <w:pStyle w:val="ListNumber"/>
        <w:spacing w:after="40"/>
      </w:pPr>
      <w:r>
        <w:t>系统将任务状态、进度、错误原因和统计数量写入任务日志。</w:t>
      </w:r>
    </w:p>
    <w:p>
      <w:pPr>
        <w:pStyle w:val="Heading2"/>
      </w:pPr>
      <w:r>
        <w:t>2.4 状态转换规则</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AF7"/>
            <w:vAlign w:val="center"/>
          </w:tcPr>
          <w:p>
            <w:pPr>
              <w:jc w:val="center"/>
            </w:pPr>
            <w:r>
              <w:rPr>
                <w:rFonts w:ascii="宋体" w:hAnsi="宋体" w:eastAsia="宋体"/>
                <w:b/>
                <w:sz w:val="17"/>
              </w:rPr>
              <w:t>状态</w:t>
            </w:r>
          </w:p>
        </w:tc>
        <w:tc>
          <w:tcPr>
            <w:tcW w:type="dxa" w:w="3135"/>
            <w:shd w:fill="D9EAF7"/>
            <w:vAlign w:val="center"/>
          </w:tcPr>
          <w:p>
            <w:pPr>
              <w:jc w:val="center"/>
            </w:pPr>
            <w:r>
              <w:rPr>
                <w:rFonts w:ascii="宋体" w:hAnsi="宋体" w:eastAsia="宋体"/>
                <w:b/>
                <w:sz w:val="17"/>
              </w:rPr>
              <w:t>允许操作</w:t>
            </w:r>
          </w:p>
        </w:tc>
        <w:tc>
          <w:tcPr>
            <w:tcW w:type="dxa" w:w="3135"/>
            <w:shd w:fill="D9EAF7"/>
            <w:vAlign w:val="center"/>
          </w:tcPr>
          <w:p>
            <w:pPr>
              <w:jc w:val="center"/>
            </w:pPr>
            <w:r>
              <w:rPr>
                <w:rFonts w:ascii="宋体" w:hAnsi="宋体" w:eastAsia="宋体"/>
                <w:b/>
                <w:sz w:val="17"/>
              </w:rPr>
              <w:t>禁止操作</w:t>
            </w:r>
          </w:p>
        </w:tc>
      </w:tr>
      <w:tr>
        <w:trPr>
          <w:cantSplit/>
        </w:trPr>
        <w:tc>
          <w:tcPr>
            <w:tcW w:type="dxa" w:w="3135"/>
            <w:vAlign w:val="center"/>
          </w:tcPr>
          <w:p>
            <w:pPr>
              <w:spacing w:after="0"/>
            </w:pPr>
            <w:r>
              <w:rPr>
                <w:rFonts w:ascii="宋体" w:hAnsi="宋体" w:eastAsia="宋体"/>
                <w:sz w:val="17"/>
              </w:rPr>
              <w:t>待执行</w:t>
            </w:r>
          </w:p>
        </w:tc>
        <w:tc>
          <w:tcPr>
            <w:tcW w:type="dxa" w:w="3135"/>
            <w:vAlign w:val="center"/>
          </w:tcPr>
          <w:p>
            <w:pPr>
              <w:spacing w:after="0"/>
            </w:pPr>
            <w:r>
              <w:rPr>
                <w:rFonts w:ascii="宋体" w:hAnsi="宋体" w:eastAsia="宋体"/>
                <w:sz w:val="17"/>
              </w:rPr>
              <w:t>启动、取消</w:t>
            </w:r>
          </w:p>
        </w:tc>
        <w:tc>
          <w:tcPr>
            <w:tcW w:type="dxa" w:w="3135"/>
            <w:vAlign w:val="center"/>
          </w:tcPr>
          <w:p>
            <w:pPr>
              <w:spacing w:after="0"/>
            </w:pPr>
            <w:r>
              <w:rPr>
                <w:rFonts w:ascii="宋体" w:hAnsi="宋体" w:eastAsia="宋体"/>
                <w:sz w:val="17"/>
              </w:rPr>
              <w:t>重试、停止</w:t>
            </w:r>
          </w:p>
        </w:tc>
      </w:tr>
      <w:tr>
        <w:trPr>
          <w:cantSplit/>
        </w:trPr>
        <w:tc>
          <w:tcPr>
            <w:tcW w:type="dxa" w:w="3135"/>
            <w:vAlign w:val="center"/>
          </w:tcPr>
          <w:p>
            <w:pPr>
              <w:spacing w:after="0"/>
            </w:pPr>
            <w:r>
              <w:rPr>
                <w:rFonts w:ascii="宋体" w:hAnsi="宋体" w:eastAsia="宋体"/>
                <w:sz w:val="17"/>
              </w:rPr>
              <w:t>运行中</w:t>
            </w:r>
          </w:p>
        </w:tc>
        <w:tc>
          <w:tcPr>
            <w:tcW w:type="dxa" w:w="3135"/>
            <w:vAlign w:val="center"/>
          </w:tcPr>
          <w:p>
            <w:pPr>
              <w:spacing w:after="0"/>
            </w:pPr>
            <w:r>
              <w:rPr>
                <w:rFonts w:ascii="宋体" w:hAnsi="宋体" w:eastAsia="宋体"/>
                <w:sz w:val="17"/>
              </w:rPr>
              <w:t>停止、查看日志</w:t>
            </w:r>
          </w:p>
        </w:tc>
        <w:tc>
          <w:tcPr>
            <w:tcW w:type="dxa" w:w="3135"/>
            <w:vAlign w:val="center"/>
          </w:tcPr>
          <w:p>
            <w:pPr>
              <w:spacing w:after="0"/>
            </w:pPr>
            <w:r>
              <w:rPr>
                <w:rFonts w:ascii="宋体" w:hAnsi="宋体" w:eastAsia="宋体"/>
                <w:sz w:val="17"/>
              </w:rPr>
              <w:t>再次启动、删除</w:t>
            </w:r>
          </w:p>
        </w:tc>
      </w:tr>
      <w:tr>
        <w:trPr>
          <w:cantSplit/>
        </w:trPr>
        <w:tc>
          <w:tcPr>
            <w:tcW w:type="dxa" w:w="3135"/>
            <w:vAlign w:val="center"/>
          </w:tcPr>
          <w:p>
            <w:pPr>
              <w:spacing w:after="0"/>
            </w:pPr>
            <w:r>
              <w:rPr>
                <w:rFonts w:ascii="宋体" w:hAnsi="宋体" w:eastAsia="宋体"/>
                <w:sz w:val="17"/>
              </w:rPr>
              <w:t>成功</w:t>
            </w:r>
          </w:p>
        </w:tc>
        <w:tc>
          <w:tcPr>
            <w:tcW w:type="dxa" w:w="3135"/>
            <w:vAlign w:val="center"/>
          </w:tcPr>
          <w:p>
            <w:pPr>
              <w:spacing w:after="0"/>
            </w:pPr>
            <w:r>
              <w:rPr>
                <w:rFonts w:ascii="宋体" w:hAnsi="宋体" w:eastAsia="宋体"/>
                <w:sz w:val="17"/>
              </w:rPr>
              <w:t>查看日志、创建相同配置的新任务</w:t>
            </w:r>
          </w:p>
        </w:tc>
        <w:tc>
          <w:tcPr>
            <w:tcW w:type="dxa" w:w="3135"/>
            <w:vAlign w:val="center"/>
          </w:tcPr>
          <w:p>
            <w:pPr>
              <w:spacing w:after="0"/>
            </w:pPr>
            <w:r>
              <w:rPr>
                <w:rFonts w:ascii="宋体" w:hAnsi="宋体" w:eastAsia="宋体"/>
                <w:sz w:val="17"/>
              </w:rPr>
              <w:t>停止、重试</w:t>
            </w:r>
          </w:p>
        </w:tc>
      </w:tr>
      <w:tr>
        <w:trPr>
          <w:cantSplit/>
        </w:trPr>
        <w:tc>
          <w:tcPr>
            <w:tcW w:type="dxa" w:w="3135"/>
            <w:vAlign w:val="center"/>
          </w:tcPr>
          <w:p>
            <w:pPr>
              <w:spacing w:after="0"/>
            </w:pPr>
            <w:r>
              <w:rPr>
                <w:rFonts w:ascii="宋体" w:hAnsi="宋体" w:eastAsia="宋体"/>
                <w:sz w:val="17"/>
              </w:rPr>
              <w:t>失败</w:t>
            </w:r>
          </w:p>
        </w:tc>
        <w:tc>
          <w:tcPr>
            <w:tcW w:type="dxa" w:w="3135"/>
            <w:vAlign w:val="center"/>
          </w:tcPr>
          <w:p>
            <w:pPr>
              <w:spacing w:after="0"/>
            </w:pPr>
            <w:r>
              <w:rPr>
                <w:rFonts w:ascii="宋体" w:hAnsi="宋体" w:eastAsia="宋体"/>
                <w:sz w:val="17"/>
              </w:rPr>
              <w:t>重试、停止、查看错误详情</w:t>
            </w:r>
          </w:p>
        </w:tc>
        <w:tc>
          <w:tcPr>
            <w:tcW w:type="dxa" w:w="3135"/>
            <w:vAlign w:val="center"/>
          </w:tcPr>
          <w:p>
            <w:pPr>
              <w:spacing w:after="0"/>
            </w:pPr>
            <w:r>
              <w:rPr>
                <w:rFonts w:ascii="宋体" w:hAnsi="宋体" w:eastAsia="宋体"/>
                <w:sz w:val="17"/>
              </w:rPr>
              <w:t>再次直接启动</w:t>
            </w:r>
          </w:p>
        </w:tc>
      </w:tr>
      <w:tr>
        <w:trPr>
          <w:cantSplit/>
        </w:trPr>
        <w:tc>
          <w:tcPr>
            <w:tcW w:type="dxa" w:w="3135"/>
            <w:vAlign w:val="center"/>
          </w:tcPr>
          <w:p>
            <w:pPr>
              <w:spacing w:after="0"/>
            </w:pPr>
            <w:r>
              <w:rPr>
                <w:rFonts w:ascii="宋体" w:hAnsi="宋体" w:eastAsia="宋体"/>
                <w:sz w:val="17"/>
              </w:rPr>
              <w:t>重试中</w:t>
            </w:r>
          </w:p>
        </w:tc>
        <w:tc>
          <w:tcPr>
            <w:tcW w:type="dxa" w:w="3135"/>
            <w:vAlign w:val="center"/>
          </w:tcPr>
          <w:p>
            <w:pPr>
              <w:spacing w:after="0"/>
            </w:pPr>
            <w:r>
              <w:rPr>
                <w:rFonts w:ascii="宋体" w:hAnsi="宋体" w:eastAsia="宋体"/>
                <w:sz w:val="17"/>
              </w:rPr>
              <w:t>停止、查看日志</w:t>
            </w:r>
          </w:p>
        </w:tc>
        <w:tc>
          <w:tcPr>
            <w:tcW w:type="dxa" w:w="3135"/>
            <w:vAlign w:val="center"/>
          </w:tcPr>
          <w:p>
            <w:pPr>
              <w:spacing w:after="0"/>
            </w:pPr>
            <w:r>
              <w:rPr>
                <w:rFonts w:ascii="宋体" w:hAnsi="宋体" w:eastAsia="宋体"/>
                <w:sz w:val="17"/>
              </w:rPr>
              <w:t>删除</w:t>
            </w:r>
          </w:p>
        </w:tc>
      </w:tr>
      <w:tr>
        <w:trPr>
          <w:cantSplit/>
        </w:trPr>
        <w:tc>
          <w:tcPr>
            <w:tcW w:type="dxa" w:w="3135"/>
            <w:vAlign w:val="center"/>
          </w:tcPr>
          <w:p>
            <w:pPr>
              <w:spacing w:after="0"/>
            </w:pPr>
            <w:r>
              <w:rPr>
                <w:rFonts w:ascii="宋体" w:hAnsi="宋体" w:eastAsia="宋体"/>
                <w:sz w:val="17"/>
              </w:rPr>
              <w:t>已停止</w:t>
            </w:r>
          </w:p>
        </w:tc>
        <w:tc>
          <w:tcPr>
            <w:tcW w:type="dxa" w:w="3135"/>
            <w:vAlign w:val="center"/>
          </w:tcPr>
          <w:p>
            <w:pPr>
              <w:spacing w:after="0"/>
            </w:pPr>
            <w:r>
              <w:rPr>
                <w:rFonts w:ascii="宋体" w:hAnsi="宋体" w:eastAsia="宋体"/>
                <w:sz w:val="17"/>
              </w:rPr>
              <w:t>查看日志、创建相同配置的新任务</w:t>
            </w:r>
          </w:p>
        </w:tc>
        <w:tc>
          <w:tcPr>
            <w:tcW w:type="dxa" w:w="3135"/>
            <w:vAlign w:val="center"/>
          </w:tcPr>
          <w:p>
            <w:pPr>
              <w:spacing w:after="0"/>
            </w:pPr>
            <w:r>
              <w:rPr>
                <w:rFonts w:ascii="宋体" w:hAnsi="宋体" w:eastAsia="宋体"/>
                <w:sz w:val="17"/>
              </w:rPr>
              <w:t>继续执行</w:t>
            </w:r>
          </w:p>
        </w:tc>
      </w:tr>
    </w:tbl>
    <w:p/>
    <w:p>
      <w:pPr>
        <w:pStyle w:val="Heading2"/>
      </w:pPr>
      <w:r>
        <w:t>2.5 验收标准</w:t>
      </w:r>
    </w:p>
    <w:p>
      <w:pPr>
        <w:pStyle w:val="ListBullet"/>
        <w:spacing w:after="40"/>
      </w:pPr>
      <w:r>
        <w:t>任务状态转换符合状态表规定。</w:t>
      </w:r>
    </w:p>
    <w:p>
      <w:pPr>
        <w:pStyle w:val="ListBullet"/>
        <w:spacing w:after="40"/>
      </w:pPr>
      <w:r>
        <w:t>每一条来源记录能够追踪到采集任务编号和来源记录标识。</w:t>
      </w:r>
    </w:p>
    <w:p>
      <w:pPr>
        <w:pStyle w:val="ListBullet"/>
        <w:spacing w:after="40"/>
      </w:pPr>
      <w:r>
        <w:t>采集失败时系统保存错误原因和可复现的请求上下文摘要。</w:t>
      </w:r>
    </w:p>
    <w:p>
      <w:pPr>
        <w:pStyle w:val="ListBullet"/>
        <w:spacing w:after="40"/>
      </w:pPr>
      <w:r>
        <w:t>同一来源记录内容未变化时，系统能够根据 raw_checksum 识别重复采集结果。</w:t>
      </w:r>
    </w:p>
    <w:p>
      <w:pPr>
        <w:pStyle w:val="Heading1"/>
      </w:pPr>
      <w:r>
        <w:t>3. SPEC-DATA-01 数据清洗规范</w:t>
      </w:r>
    </w:p>
    <w:p>
      <w:pPr>
        <w:pStyle w:val="Heading2"/>
      </w:pPr>
      <w:r>
        <w:t>3.1 功能目标</w:t>
      </w:r>
    </w:p>
    <w:p>
      <w:r>
        <w:t>数据清洗模块负责将多来源异构数据转换为统一字段结构，并生成展示字段、比较字段、标准标识字段和质量标记。系统需要保留原始值，并将规范化值写入独立字段。</w:t>
      </w:r>
    </w:p>
    <w:p>
      <w:pPr>
        <w:pStyle w:val="Heading2"/>
      </w:pPr>
      <w:r>
        <w:t>3.2 通用字段处理规则</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351"/>
            <w:shd w:fill="D9EAF7"/>
            <w:vAlign w:val="center"/>
          </w:tcPr>
          <w:p>
            <w:pPr>
              <w:jc w:val="center"/>
            </w:pPr>
            <w:r>
              <w:rPr>
                <w:rFonts w:ascii="宋体" w:hAnsi="宋体" w:eastAsia="宋体"/>
                <w:b/>
                <w:sz w:val="16"/>
              </w:rPr>
              <w:t>规则编号</w:t>
            </w:r>
          </w:p>
        </w:tc>
        <w:tc>
          <w:tcPr>
            <w:tcW w:type="dxa" w:w="2351"/>
            <w:shd w:fill="D9EAF7"/>
            <w:vAlign w:val="center"/>
          </w:tcPr>
          <w:p>
            <w:pPr>
              <w:jc w:val="center"/>
            </w:pPr>
            <w:r>
              <w:rPr>
                <w:rFonts w:ascii="宋体" w:hAnsi="宋体" w:eastAsia="宋体"/>
                <w:b/>
                <w:sz w:val="16"/>
              </w:rPr>
              <w:t>字段类别</w:t>
            </w:r>
          </w:p>
        </w:tc>
        <w:tc>
          <w:tcPr>
            <w:tcW w:type="dxa" w:w="2351"/>
            <w:shd w:fill="D9EAF7"/>
            <w:vAlign w:val="center"/>
          </w:tcPr>
          <w:p>
            <w:pPr>
              <w:jc w:val="center"/>
            </w:pPr>
            <w:r>
              <w:rPr>
                <w:rFonts w:ascii="宋体" w:hAnsi="宋体" w:eastAsia="宋体"/>
                <w:b/>
                <w:sz w:val="16"/>
              </w:rPr>
              <w:t>规则内容</w:t>
            </w:r>
          </w:p>
        </w:tc>
        <w:tc>
          <w:tcPr>
            <w:tcW w:type="dxa" w:w="2351"/>
            <w:shd w:fill="D9EAF7"/>
            <w:vAlign w:val="center"/>
          </w:tcPr>
          <w:p>
            <w:pPr>
              <w:jc w:val="center"/>
            </w:pPr>
            <w:r>
              <w:rPr>
                <w:rFonts w:ascii="宋体" w:hAnsi="宋体" w:eastAsia="宋体"/>
                <w:b/>
                <w:sz w:val="16"/>
              </w:rPr>
              <w:t>异常处理</w:t>
            </w:r>
          </w:p>
        </w:tc>
      </w:tr>
      <w:tr>
        <w:trPr>
          <w:cantSplit/>
        </w:trPr>
        <w:tc>
          <w:tcPr>
            <w:tcW w:type="dxa" w:w="2351"/>
            <w:vAlign w:val="center"/>
          </w:tcPr>
          <w:p>
            <w:pPr>
              <w:spacing w:after="0"/>
            </w:pPr>
            <w:r>
              <w:rPr>
                <w:rFonts w:ascii="宋体" w:hAnsi="宋体" w:eastAsia="宋体"/>
                <w:sz w:val="16"/>
              </w:rPr>
              <w:t>CLN-001</w:t>
            </w:r>
          </w:p>
        </w:tc>
        <w:tc>
          <w:tcPr>
            <w:tcW w:type="dxa" w:w="2351"/>
            <w:vAlign w:val="center"/>
          </w:tcPr>
          <w:p>
            <w:pPr>
              <w:spacing w:after="0"/>
            </w:pPr>
            <w:r>
              <w:rPr>
                <w:rFonts w:ascii="宋体" w:hAnsi="宋体" w:eastAsia="宋体"/>
                <w:sz w:val="16"/>
              </w:rPr>
              <w:t>文本</w:t>
            </w:r>
          </w:p>
        </w:tc>
        <w:tc>
          <w:tcPr>
            <w:tcW w:type="dxa" w:w="2351"/>
            <w:vAlign w:val="center"/>
          </w:tcPr>
          <w:p>
            <w:pPr>
              <w:spacing w:after="0"/>
            </w:pPr>
            <w:r>
              <w:rPr>
                <w:rFonts w:ascii="宋体" w:hAnsi="宋体" w:eastAsia="宋体"/>
                <w:sz w:val="16"/>
              </w:rPr>
              <w:t>执行 Unicode NFC 规范化，压缩连续空白，删除首尾空白，处理 HTML 实体。</w:t>
            </w:r>
          </w:p>
        </w:tc>
        <w:tc>
          <w:tcPr>
            <w:tcW w:type="dxa" w:w="2351"/>
            <w:vAlign w:val="center"/>
          </w:tcPr>
          <w:p>
            <w:pPr>
              <w:spacing w:after="0"/>
            </w:pPr>
            <w:r>
              <w:rPr>
                <w:rFonts w:ascii="宋体" w:hAnsi="宋体" w:eastAsia="宋体"/>
                <w:sz w:val="16"/>
              </w:rPr>
              <w:t>无法解码的字符替换为安全字符，并记录异常。</w:t>
            </w:r>
          </w:p>
        </w:tc>
      </w:tr>
      <w:tr>
        <w:trPr>
          <w:cantSplit/>
        </w:trPr>
        <w:tc>
          <w:tcPr>
            <w:tcW w:type="dxa" w:w="2351"/>
            <w:vAlign w:val="center"/>
          </w:tcPr>
          <w:p>
            <w:pPr>
              <w:spacing w:after="0"/>
            </w:pPr>
            <w:r>
              <w:rPr>
                <w:rFonts w:ascii="宋体" w:hAnsi="宋体" w:eastAsia="宋体"/>
                <w:sz w:val="16"/>
              </w:rPr>
              <w:t>CLN-002</w:t>
            </w:r>
          </w:p>
        </w:tc>
        <w:tc>
          <w:tcPr>
            <w:tcW w:type="dxa" w:w="2351"/>
            <w:vAlign w:val="center"/>
          </w:tcPr>
          <w:p>
            <w:pPr>
              <w:spacing w:after="0"/>
            </w:pPr>
            <w:r>
              <w:rPr>
                <w:rFonts w:ascii="宋体" w:hAnsi="宋体" w:eastAsia="宋体"/>
                <w:sz w:val="16"/>
              </w:rPr>
              <w:t>题名</w:t>
            </w:r>
          </w:p>
        </w:tc>
        <w:tc>
          <w:tcPr>
            <w:tcW w:type="dxa" w:w="2351"/>
            <w:vAlign w:val="center"/>
          </w:tcPr>
          <w:p>
            <w:pPr>
              <w:spacing w:after="0"/>
            </w:pPr>
            <w:r>
              <w:rPr>
                <w:rFonts w:ascii="宋体" w:hAnsi="宋体" w:eastAsia="宋体"/>
                <w:sz w:val="16"/>
              </w:rPr>
              <w:t>生成 title_display 与 title_normalized；比较字段统一小写并删除弱标点。</w:t>
            </w:r>
          </w:p>
        </w:tc>
        <w:tc>
          <w:tcPr>
            <w:tcW w:type="dxa" w:w="2351"/>
            <w:vAlign w:val="center"/>
          </w:tcPr>
          <w:p>
            <w:pPr>
              <w:spacing w:after="0"/>
            </w:pPr>
            <w:r>
              <w:rPr>
                <w:rFonts w:ascii="宋体" w:hAnsi="宋体" w:eastAsia="宋体"/>
                <w:sz w:val="16"/>
              </w:rPr>
              <w:t>题名缺失时记录关键字段缺失异常。</w:t>
            </w:r>
          </w:p>
        </w:tc>
      </w:tr>
      <w:tr>
        <w:trPr>
          <w:cantSplit/>
        </w:trPr>
        <w:tc>
          <w:tcPr>
            <w:tcW w:type="dxa" w:w="2351"/>
            <w:vAlign w:val="center"/>
          </w:tcPr>
          <w:p>
            <w:pPr>
              <w:spacing w:after="0"/>
            </w:pPr>
            <w:r>
              <w:rPr>
                <w:rFonts w:ascii="宋体" w:hAnsi="宋体" w:eastAsia="宋体"/>
                <w:sz w:val="16"/>
              </w:rPr>
              <w:t>CLN-003</w:t>
            </w:r>
          </w:p>
        </w:tc>
        <w:tc>
          <w:tcPr>
            <w:tcW w:type="dxa" w:w="2351"/>
            <w:vAlign w:val="center"/>
          </w:tcPr>
          <w:p>
            <w:pPr>
              <w:spacing w:after="0"/>
            </w:pPr>
            <w:r>
              <w:rPr>
                <w:rFonts w:ascii="宋体" w:hAnsi="宋体" w:eastAsia="宋体"/>
                <w:sz w:val="16"/>
              </w:rPr>
              <w:t>摘要</w:t>
            </w:r>
          </w:p>
        </w:tc>
        <w:tc>
          <w:tcPr>
            <w:tcW w:type="dxa" w:w="2351"/>
            <w:vAlign w:val="center"/>
          </w:tcPr>
          <w:p>
            <w:pPr>
              <w:spacing w:after="0"/>
            </w:pPr>
            <w:r>
              <w:rPr>
                <w:rFonts w:ascii="宋体" w:hAnsi="宋体" w:eastAsia="宋体"/>
                <w:sz w:val="16"/>
              </w:rPr>
              <w:t>删除 HTML 标签和脚本内容，保留段落文本，保存许可状态。</w:t>
            </w:r>
          </w:p>
        </w:tc>
        <w:tc>
          <w:tcPr>
            <w:tcW w:type="dxa" w:w="2351"/>
            <w:vAlign w:val="center"/>
          </w:tcPr>
          <w:p>
            <w:pPr>
              <w:spacing w:after="0"/>
            </w:pPr>
            <w:r>
              <w:rPr>
                <w:rFonts w:ascii="宋体" w:hAnsi="宋体" w:eastAsia="宋体"/>
                <w:sz w:val="16"/>
              </w:rPr>
              <w:t>摘要来源许可不允许展示时，仅保存不可展示标记。</w:t>
            </w:r>
          </w:p>
        </w:tc>
      </w:tr>
      <w:tr>
        <w:trPr>
          <w:cantSplit/>
        </w:trPr>
        <w:tc>
          <w:tcPr>
            <w:tcW w:type="dxa" w:w="2351"/>
            <w:vAlign w:val="center"/>
          </w:tcPr>
          <w:p>
            <w:pPr>
              <w:spacing w:after="0"/>
            </w:pPr>
            <w:r>
              <w:rPr>
                <w:rFonts w:ascii="宋体" w:hAnsi="宋体" w:eastAsia="宋体"/>
                <w:sz w:val="16"/>
              </w:rPr>
              <w:t>CLN-004</w:t>
            </w:r>
          </w:p>
        </w:tc>
        <w:tc>
          <w:tcPr>
            <w:tcW w:type="dxa" w:w="2351"/>
            <w:vAlign w:val="center"/>
          </w:tcPr>
          <w:p>
            <w:pPr>
              <w:spacing w:after="0"/>
            </w:pPr>
            <w:r>
              <w:rPr>
                <w:rFonts w:ascii="宋体" w:hAnsi="宋体" w:eastAsia="宋体"/>
                <w:sz w:val="16"/>
              </w:rPr>
              <w:t>关键词</w:t>
            </w:r>
          </w:p>
        </w:tc>
        <w:tc>
          <w:tcPr>
            <w:tcW w:type="dxa" w:w="2351"/>
            <w:vAlign w:val="center"/>
          </w:tcPr>
          <w:p>
            <w:pPr>
              <w:spacing w:after="0"/>
            </w:pPr>
            <w:r>
              <w:rPr>
                <w:rFonts w:ascii="宋体" w:hAnsi="宋体" w:eastAsia="宋体"/>
                <w:sz w:val="16"/>
              </w:rPr>
              <w:t>统一分隔符，删除空项，按规范化形式去重。</w:t>
            </w:r>
          </w:p>
        </w:tc>
        <w:tc>
          <w:tcPr>
            <w:tcW w:type="dxa" w:w="2351"/>
            <w:vAlign w:val="center"/>
          </w:tcPr>
          <w:p>
            <w:pPr>
              <w:spacing w:after="0"/>
            </w:pPr>
            <w:r>
              <w:rPr>
                <w:rFonts w:ascii="宋体" w:hAnsi="宋体" w:eastAsia="宋体"/>
                <w:sz w:val="16"/>
              </w:rPr>
              <w:t>空关键词字段保持为空值。</w:t>
            </w:r>
          </w:p>
        </w:tc>
      </w:tr>
      <w:tr>
        <w:trPr>
          <w:cantSplit/>
        </w:trPr>
        <w:tc>
          <w:tcPr>
            <w:tcW w:type="dxa" w:w="2351"/>
            <w:vAlign w:val="center"/>
          </w:tcPr>
          <w:p>
            <w:pPr>
              <w:spacing w:after="0"/>
            </w:pPr>
            <w:r>
              <w:rPr>
                <w:rFonts w:ascii="宋体" w:hAnsi="宋体" w:eastAsia="宋体"/>
                <w:sz w:val="16"/>
              </w:rPr>
              <w:t>CLN-005</w:t>
            </w:r>
          </w:p>
        </w:tc>
        <w:tc>
          <w:tcPr>
            <w:tcW w:type="dxa" w:w="2351"/>
            <w:vAlign w:val="center"/>
          </w:tcPr>
          <w:p>
            <w:pPr>
              <w:spacing w:after="0"/>
            </w:pPr>
            <w:r>
              <w:rPr>
                <w:rFonts w:ascii="宋体" w:hAnsi="宋体" w:eastAsia="宋体"/>
                <w:sz w:val="16"/>
              </w:rPr>
              <w:t>日期</w:t>
            </w:r>
          </w:p>
        </w:tc>
        <w:tc>
          <w:tcPr>
            <w:tcW w:type="dxa" w:w="2351"/>
            <w:vAlign w:val="center"/>
          </w:tcPr>
          <w:p>
            <w:pPr>
              <w:spacing w:after="0"/>
            </w:pPr>
            <w:r>
              <w:rPr>
                <w:rFonts w:ascii="宋体" w:hAnsi="宋体" w:eastAsia="宋体"/>
                <w:sz w:val="16"/>
              </w:rPr>
              <w:t>转换为 ISO 8601 格式，并保存日期精度。</w:t>
            </w:r>
          </w:p>
        </w:tc>
        <w:tc>
          <w:tcPr>
            <w:tcW w:type="dxa" w:w="2351"/>
            <w:vAlign w:val="center"/>
          </w:tcPr>
          <w:p>
            <w:pPr>
              <w:spacing w:after="0"/>
            </w:pPr>
            <w:r>
              <w:rPr>
                <w:rFonts w:ascii="宋体" w:hAnsi="宋体" w:eastAsia="宋体"/>
                <w:sz w:val="16"/>
              </w:rPr>
              <w:t>非法日期进入异常队列。</w:t>
            </w:r>
          </w:p>
        </w:tc>
      </w:tr>
      <w:tr>
        <w:trPr>
          <w:cantSplit/>
        </w:trPr>
        <w:tc>
          <w:tcPr>
            <w:tcW w:type="dxa" w:w="2351"/>
            <w:vAlign w:val="center"/>
          </w:tcPr>
          <w:p>
            <w:pPr>
              <w:spacing w:after="0"/>
            </w:pPr>
            <w:r>
              <w:rPr>
                <w:rFonts w:ascii="宋体" w:hAnsi="宋体" w:eastAsia="宋体"/>
                <w:sz w:val="16"/>
              </w:rPr>
              <w:t>CLN-006</w:t>
            </w:r>
          </w:p>
        </w:tc>
        <w:tc>
          <w:tcPr>
            <w:tcW w:type="dxa" w:w="2351"/>
            <w:vAlign w:val="center"/>
          </w:tcPr>
          <w:p>
            <w:pPr>
              <w:spacing w:after="0"/>
            </w:pPr>
            <w:r>
              <w:rPr>
                <w:rFonts w:ascii="宋体" w:hAnsi="宋体" w:eastAsia="宋体"/>
                <w:sz w:val="16"/>
              </w:rPr>
              <w:t>受控词表</w:t>
            </w:r>
          </w:p>
        </w:tc>
        <w:tc>
          <w:tcPr>
            <w:tcW w:type="dxa" w:w="2351"/>
            <w:vAlign w:val="center"/>
          </w:tcPr>
          <w:p>
            <w:pPr>
              <w:spacing w:after="0"/>
            </w:pPr>
            <w:r>
              <w:rPr>
                <w:rFonts w:ascii="宋体" w:hAnsi="宋体" w:eastAsia="宋体"/>
                <w:sz w:val="16"/>
              </w:rPr>
              <w:t>奖励等级、成果类型、学术领域等字段通过映射表转换。</w:t>
            </w:r>
          </w:p>
        </w:tc>
        <w:tc>
          <w:tcPr>
            <w:tcW w:type="dxa" w:w="2351"/>
            <w:vAlign w:val="center"/>
          </w:tcPr>
          <w:p>
            <w:pPr>
              <w:spacing w:after="0"/>
            </w:pPr>
            <w:r>
              <w:rPr>
                <w:rFonts w:ascii="宋体" w:hAnsi="宋体" w:eastAsia="宋体"/>
                <w:sz w:val="16"/>
              </w:rPr>
              <w:t>映射失败时记录待维护词表项。</w:t>
            </w:r>
          </w:p>
        </w:tc>
      </w:tr>
    </w:tbl>
    <w:p/>
    <w:p>
      <w:pPr>
        <w:pStyle w:val="Heading2"/>
      </w:pPr>
      <w:r>
        <w:t>3.3 标识符处理规则</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351"/>
            <w:shd w:fill="D9EAF7"/>
            <w:vAlign w:val="center"/>
          </w:tcPr>
          <w:p>
            <w:pPr>
              <w:jc w:val="center"/>
            </w:pPr>
            <w:r>
              <w:rPr>
                <w:rFonts w:ascii="宋体" w:hAnsi="宋体" w:eastAsia="宋体"/>
                <w:b/>
                <w:sz w:val="16"/>
              </w:rPr>
              <w:t>规则编号</w:t>
            </w:r>
          </w:p>
        </w:tc>
        <w:tc>
          <w:tcPr>
            <w:tcW w:type="dxa" w:w="2351"/>
            <w:shd w:fill="D9EAF7"/>
            <w:vAlign w:val="center"/>
          </w:tcPr>
          <w:p>
            <w:pPr>
              <w:jc w:val="center"/>
            </w:pPr>
            <w:r>
              <w:rPr>
                <w:rFonts w:ascii="宋体" w:hAnsi="宋体" w:eastAsia="宋体"/>
                <w:b/>
                <w:sz w:val="16"/>
              </w:rPr>
              <w:t>标识符</w:t>
            </w:r>
          </w:p>
        </w:tc>
        <w:tc>
          <w:tcPr>
            <w:tcW w:type="dxa" w:w="2351"/>
            <w:shd w:fill="D9EAF7"/>
            <w:vAlign w:val="center"/>
          </w:tcPr>
          <w:p>
            <w:pPr>
              <w:jc w:val="center"/>
            </w:pPr>
            <w:r>
              <w:rPr>
                <w:rFonts w:ascii="宋体" w:hAnsi="宋体" w:eastAsia="宋体"/>
                <w:b/>
                <w:sz w:val="16"/>
              </w:rPr>
              <w:t>规范化规则</w:t>
            </w:r>
          </w:p>
        </w:tc>
        <w:tc>
          <w:tcPr>
            <w:tcW w:type="dxa" w:w="2351"/>
            <w:shd w:fill="D9EAF7"/>
            <w:vAlign w:val="center"/>
          </w:tcPr>
          <w:p>
            <w:pPr>
              <w:jc w:val="center"/>
            </w:pPr>
            <w:r>
              <w:rPr>
                <w:rFonts w:ascii="宋体" w:hAnsi="宋体" w:eastAsia="宋体"/>
                <w:b/>
                <w:sz w:val="16"/>
              </w:rPr>
              <w:t>校验规则</w:t>
            </w:r>
          </w:p>
        </w:tc>
      </w:tr>
      <w:tr>
        <w:trPr>
          <w:cantSplit/>
        </w:trPr>
        <w:tc>
          <w:tcPr>
            <w:tcW w:type="dxa" w:w="2351"/>
            <w:vAlign w:val="center"/>
          </w:tcPr>
          <w:p>
            <w:pPr>
              <w:spacing w:after="0"/>
            </w:pPr>
            <w:r>
              <w:rPr>
                <w:rFonts w:ascii="宋体" w:hAnsi="宋体" w:eastAsia="宋体"/>
                <w:sz w:val="16"/>
              </w:rPr>
              <w:t>ID-001</w:t>
            </w:r>
          </w:p>
        </w:tc>
        <w:tc>
          <w:tcPr>
            <w:tcW w:type="dxa" w:w="2351"/>
            <w:vAlign w:val="center"/>
          </w:tcPr>
          <w:p>
            <w:pPr>
              <w:spacing w:after="0"/>
            </w:pPr>
            <w:r>
              <w:rPr>
                <w:rFonts w:ascii="宋体" w:hAnsi="宋体" w:eastAsia="宋体"/>
                <w:sz w:val="16"/>
              </w:rPr>
              <w:t>DOI</w:t>
            </w:r>
          </w:p>
        </w:tc>
        <w:tc>
          <w:tcPr>
            <w:tcW w:type="dxa" w:w="2351"/>
            <w:vAlign w:val="center"/>
          </w:tcPr>
          <w:p>
            <w:pPr>
              <w:spacing w:after="0"/>
            </w:pPr>
            <w:r>
              <w:rPr>
                <w:rFonts w:ascii="宋体" w:hAnsi="宋体" w:eastAsia="宋体"/>
                <w:sz w:val="16"/>
              </w:rPr>
              <w:t>删除 URL 前缀和 doi: 前缀，统一小写，保存 DOI 主体。</w:t>
            </w:r>
          </w:p>
        </w:tc>
        <w:tc>
          <w:tcPr>
            <w:tcW w:type="dxa" w:w="2351"/>
            <w:vAlign w:val="center"/>
          </w:tcPr>
          <w:p>
            <w:pPr>
              <w:spacing w:after="0"/>
            </w:pPr>
            <w:r>
              <w:rPr>
                <w:rFonts w:ascii="宋体" w:hAnsi="宋体" w:eastAsia="宋体"/>
                <w:sz w:val="16"/>
              </w:rPr>
              <w:t>检查 DOI 格式；格式错误进入异常队列。</w:t>
            </w:r>
          </w:p>
        </w:tc>
      </w:tr>
      <w:tr>
        <w:trPr>
          <w:cantSplit/>
        </w:trPr>
        <w:tc>
          <w:tcPr>
            <w:tcW w:type="dxa" w:w="2351"/>
            <w:vAlign w:val="center"/>
          </w:tcPr>
          <w:p>
            <w:pPr>
              <w:spacing w:after="0"/>
            </w:pPr>
            <w:r>
              <w:rPr>
                <w:rFonts w:ascii="宋体" w:hAnsi="宋体" w:eastAsia="宋体"/>
                <w:sz w:val="16"/>
              </w:rPr>
              <w:t>ID-002</w:t>
            </w:r>
          </w:p>
        </w:tc>
        <w:tc>
          <w:tcPr>
            <w:tcW w:type="dxa" w:w="2351"/>
            <w:vAlign w:val="center"/>
          </w:tcPr>
          <w:p>
            <w:pPr>
              <w:spacing w:after="0"/>
            </w:pPr>
            <w:r>
              <w:rPr>
                <w:rFonts w:ascii="宋体" w:hAnsi="宋体" w:eastAsia="宋体"/>
                <w:sz w:val="16"/>
              </w:rPr>
              <w:t>ORCID</w:t>
            </w:r>
          </w:p>
        </w:tc>
        <w:tc>
          <w:tcPr>
            <w:tcW w:type="dxa" w:w="2351"/>
            <w:vAlign w:val="center"/>
          </w:tcPr>
          <w:p>
            <w:pPr>
              <w:spacing w:after="0"/>
            </w:pPr>
            <w:r>
              <w:rPr>
                <w:rFonts w:ascii="宋体" w:hAnsi="宋体" w:eastAsia="宋体"/>
                <w:sz w:val="16"/>
              </w:rPr>
              <w:t>转换为 0000-0000-0000-0000 形式。</w:t>
            </w:r>
          </w:p>
        </w:tc>
        <w:tc>
          <w:tcPr>
            <w:tcW w:type="dxa" w:w="2351"/>
            <w:vAlign w:val="center"/>
          </w:tcPr>
          <w:p>
            <w:pPr>
              <w:spacing w:after="0"/>
            </w:pPr>
            <w:r>
              <w:rPr>
                <w:rFonts w:ascii="宋体" w:hAnsi="宋体" w:eastAsia="宋体"/>
                <w:sz w:val="16"/>
              </w:rPr>
              <w:t>执行校验位验证。</w:t>
            </w:r>
          </w:p>
        </w:tc>
      </w:tr>
      <w:tr>
        <w:trPr>
          <w:cantSplit/>
        </w:trPr>
        <w:tc>
          <w:tcPr>
            <w:tcW w:type="dxa" w:w="2351"/>
            <w:vAlign w:val="center"/>
          </w:tcPr>
          <w:p>
            <w:pPr>
              <w:spacing w:after="0"/>
            </w:pPr>
            <w:r>
              <w:rPr>
                <w:rFonts w:ascii="宋体" w:hAnsi="宋体" w:eastAsia="宋体"/>
                <w:sz w:val="16"/>
              </w:rPr>
              <w:t>ID-003</w:t>
            </w:r>
          </w:p>
        </w:tc>
        <w:tc>
          <w:tcPr>
            <w:tcW w:type="dxa" w:w="2351"/>
            <w:vAlign w:val="center"/>
          </w:tcPr>
          <w:p>
            <w:pPr>
              <w:spacing w:after="0"/>
            </w:pPr>
            <w:r>
              <w:rPr>
                <w:rFonts w:ascii="宋体" w:hAnsi="宋体" w:eastAsia="宋体"/>
                <w:sz w:val="16"/>
              </w:rPr>
              <w:t>ROR</w:t>
            </w:r>
          </w:p>
        </w:tc>
        <w:tc>
          <w:tcPr>
            <w:tcW w:type="dxa" w:w="2351"/>
            <w:vAlign w:val="center"/>
          </w:tcPr>
          <w:p>
            <w:pPr>
              <w:spacing w:after="0"/>
            </w:pPr>
            <w:r>
              <w:rPr>
                <w:rFonts w:ascii="宋体" w:hAnsi="宋体" w:eastAsia="宋体"/>
                <w:sz w:val="16"/>
              </w:rPr>
              <w:t>保存完整 ROR URL 和规范 ID。</w:t>
            </w:r>
          </w:p>
        </w:tc>
        <w:tc>
          <w:tcPr>
            <w:tcW w:type="dxa" w:w="2351"/>
            <w:vAlign w:val="center"/>
          </w:tcPr>
          <w:p>
            <w:pPr>
              <w:spacing w:after="0"/>
            </w:pPr>
            <w:r>
              <w:rPr>
                <w:rFonts w:ascii="宋体" w:hAnsi="宋体" w:eastAsia="宋体"/>
                <w:sz w:val="16"/>
              </w:rPr>
              <w:t>机构主表对 ROR ID 建立唯一约束。</w:t>
            </w:r>
          </w:p>
        </w:tc>
      </w:tr>
      <w:tr>
        <w:trPr>
          <w:cantSplit/>
        </w:trPr>
        <w:tc>
          <w:tcPr>
            <w:tcW w:type="dxa" w:w="2351"/>
            <w:vAlign w:val="center"/>
          </w:tcPr>
          <w:p>
            <w:pPr>
              <w:spacing w:after="0"/>
            </w:pPr>
            <w:r>
              <w:rPr>
                <w:rFonts w:ascii="宋体" w:hAnsi="宋体" w:eastAsia="宋体"/>
                <w:sz w:val="16"/>
              </w:rPr>
              <w:t>ID-004</w:t>
            </w:r>
          </w:p>
        </w:tc>
        <w:tc>
          <w:tcPr>
            <w:tcW w:type="dxa" w:w="2351"/>
            <w:vAlign w:val="center"/>
          </w:tcPr>
          <w:p>
            <w:pPr>
              <w:spacing w:after="0"/>
            </w:pPr>
            <w:r>
              <w:rPr>
                <w:rFonts w:ascii="宋体" w:hAnsi="宋体" w:eastAsia="宋体"/>
                <w:sz w:val="16"/>
              </w:rPr>
              <w:t>ISSN</w:t>
            </w:r>
          </w:p>
        </w:tc>
        <w:tc>
          <w:tcPr>
            <w:tcW w:type="dxa" w:w="2351"/>
            <w:vAlign w:val="center"/>
          </w:tcPr>
          <w:p>
            <w:pPr>
              <w:spacing w:after="0"/>
            </w:pPr>
            <w:r>
              <w:rPr>
                <w:rFonts w:ascii="宋体" w:hAnsi="宋体" w:eastAsia="宋体"/>
                <w:sz w:val="16"/>
              </w:rPr>
              <w:t>转换为 XXXX-XXXX 形式。</w:t>
            </w:r>
          </w:p>
        </w:tc>
        <w:tc>
          <w:tcPr>
            <w:tcW w:type="dxa" w:w="2351"/>
            <w:vAlign w:val="center"/>
          </w:tcPr>
          <w:p>
            <w:pPr>
              <w:spacing w:after="0"/>
            </w:pPr>
            <w:r>
              <w:rPr>
                <w:rFonts w:ascii="宋体" w:hAnsi="宋体" w:eastAsia="宋体"/>
                <w:sz w:val="16"/>
              </w:rPr>
              <w:t>执行校验位验证。</w:t>
            </w:r>
          </w:p>
        </w:tc>
      </w:tr>
      <w:tr>
        <w:trPr>
          <w:cantSplit/>
        </w:trPr>
        <w:tc>
          <w:tcPr>
            <w:tcW w:type="dxa" w:w="2351"/>
            <w:vAlign w:val="center"/>
          </w:tcPr>
          <w:p>
            <w:pPr>
              <w:spacing w:after="0"/>
            </w:pPr>
            <w:r>
              <w:rPr>
                <w:rFonts w:ascii="宋体" w:hAnsi="宋体" w:eastAsia="宋体"/>
                <w:sz w:val="16"/>
              </w:rPr>
              <w:t>ID-005</w:t>
            </w:r>
          </w:p>
        </w:tc>
        <w:tc>
          <w:tcPr>
            <w:tcW w:type="dxa" w:w="2351"/>
            <w:vAlign w:val="center"/>
          </w:tcPr>
          <w:p>
            <w:pPr>
              <w:spacing w:after="0"/>
            </w:pPr>
            <w:r>
              <w:rPr>
                <w:rFonts w:ascii="宋体" w:hAnsi="宋体" w:eastAsia="宋体"/>
                <w:sz w:val="16"/>
              </w:rPr>
              <w:t>专利公开号</w:t>
            </w:r>
          </w:p>
        </w:tc>
        <w:tc>
          <w:tcPr>
            <w:tcW w:type="dxa" w:w="2351"/>
            <w:vAlign w:val="center"/>
          </w:tcPr>
          <w:p>
            <w:pPr>
              <w:spacing w:after="0"/>
            </w:pPr>
            <w:r>
              <w:rPr>
                <w:rFonts w:ascii="宋体" w:hAnsi="宋体" w:eastAsia="宋体"/>
                <w:sz w:val="16"/>
              </w:rPr>
              <w:t>拆分主管机构代码、公开号主体和文献种类代码。</w:t>
            </w:r>
          </w:p>
        </w:tc>
        <w:tc>
          <w:tcPr>
            <w:tcW w:type="dxa" w:w="2351"/>
            <w:vAlign w:val="center"/>
          </w:tcPr>
          <w:p>
            <w:pPr>
              <w:spacing w:after="0"/>
            </w:pPr>
            <w:r>
              <w:rPr>
                <w:rFonts w:ascii="宋体" w:hAnsi="宋体" w:eastAsia="宋体"/>
                <w:sz w:val="16"/>
              </w:rPr>
              <w:t>缺少关键段时进入候选复核。</w:t>
            </w:r>
          </w:p>
        </w:tc>
      </w:tr>
      <w:tr>
        <w:trPr>
          <w:cantSplit/>
        </w:trPr>
        <w:tc>
          <w:tcPr>
            <w:tcW w:type="dxa" w:w="2351"/>
            <w:vAlign w:val="center"/>
          </w:tcPr>
          <w:p>
            <w:pPr>
              <w:spacing w:after="0"/>
            </w:pPr>
            <w:r>
              <w:rPr>
                <w:rFonts w:ascii="宋体" w:hAnsi="宋体" w:eastAsia="宋体"/>
                <w:sz w:val="16"/>
              </w:rPr>
              <w:t>ID-006</w:t>
            </w:r>
          </w:p>
        </w:tc>
        <w:tc>
          <w:tcPr>
            <w:tcW w:type="dxa" w:w="2351"/>
            <w:vAlign w:val="center"/>
          </w:tcPr>
          <w:p>
            <w:pPr>
              <w:spacing w:after="0"/>
            </w:pPr>
            <w:r>
              <w:rPr>
                <w:rFonts w:ascii="宋体" w:hAnsi="宋体" w:eastAsia="宋体"/>
                <w:sz w:val="16"/>
              </w:rPr>
              <w:t>专利申请号</w:t>
            </w:r>
          </w:p>
        </w:tc>
        <w:tc>
          <w:tcPr>
            <w:tcW w:type="dxa" w:w="2351"/>
            <w:vAlign w:val="center"/>
          </w:tcPr>
          <w:p>
            <w:pPr>
              <w:spacing w:after="0"/>
            </w:pPr>
            <w:r>
              <w:rPr>
                <w:rFonts w:ascii="宋体" w:hAnsi="宋体" w:eastAsia="宋体"/>
                <w:sz w:val="16"/>
              </w:rPr>
              <w:t>按照来源国家或地区规则保存标准形式。</w:t>
            </w:r>
          </w:p>
        </w:tc>
        <w:tc>
          <w:tcPr>
            <w:tcW w:type="dxa" w:w="2351"/>
            <w:vAlign w:val="center"/>
          </w:tcPr>
          <w:p>
            <w:pPr>
              <w:spacing w:after="0"/>
            </w:pPr>
            <w:r>
              <w:rPr>
                <w:rFonts w:ascii="宋体" w:hAnsi="宋体" w:eastAsia="宋体"/>
                <w:sz w:val="16"/>
              </w:rPr>
              <w:t>标准化失败时保存原文并标记异常。</w:t>
            </w:r>
          </w:p>
        </w:tc>
      </w:tr>
    </w:tbl>
    <w:p/>
    <w:p>
      <w:pPr>
        <w:pStyle w:val="Heading2"/>
      </w:pPr>
      <w:r>
        <w:t>3.4 人员与机构清洗规则</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7"/>
              </w:rPr>
              <w:t>对象</w:t>
            </w:r>
          </w:p>
        </w:tc>
        <w:tc>
          <w:tcPr>
            <w:tcW w:type="dxa" w:w="4702"/>
            <w:shd w:fill="D9EAF7"/>
            <w:vAlign w:val="center"/>
          </w:tcPr>
          <w:p>
            <w:pPr>
              <w:jc w:val="center"/>
            </w:pPr>
            <w:r>
              <w:rPr>
                <w:rFonts w:ascii="宋体" w:hAnsi="宋体" w:eastAsia="宋体"/>
                <w:b/>
                <w:sz w:val="17"/>
              </w:rPr>
              <w:t>处理规则</w:t>
            </w:r>
          </w:p>
        </w:tc>
      </w:tr>
      <w:tr>
        <w:trPr>
          <w:cantSplit/>
        </w:trPr>
        <w:tc>
          <w:tcPr>
            <w:tcW w:type="dxa" w:w="4702"/>
            <w:vAlign w:val="center"/>
          </w:tcPr>
          <w:p>
            <w:pPr>
              <w:spacing w:after="0"/>
            </w:pPr>
            <w:r>
              <w:rPr>
                <w:rFonts w:ascii="宋体" w:hAnsi="宋体" w:eastAsia="宋体"/>
                <w:sz w:val="17"/>
              </w:rPr>
              <w:t>人员姓名</w:t>
            </w:r>
          </w:p>
        </w:tc>
        <w:tc>
          <w:tcPr>
            <w:tcW w:type="dxa" w:w="4702"/>
            <w:vAlign w:val="center"/>
          </w:tcPr>
          <w:p>
            <w:pPr>
              <w:spacing w:after="0"/>
            </w:pPr>
            <w:r>
              <w:rPr>
                <w:rFonts w:ascii="宋体" w:hAnsi="宋体" w:eastAsia="宋体"/>
                <w:sz w:val="17"/>
              </w:rPr>
              <w:t>保存原始姓名、规范显示姓名和姓名比较键。英文姓名统一大小写、标点和空格。中文姓名保留中文原名，拼音和英文写法保存为别名。</w:t>
            </w:r>
          </w:p>
        </w:tc>
      </w:tr>
      <w:tr>
        <w:trPr>
          <w:cantSplit/>
        </w:trPr>
        <w:tc>
          <w:tcPr>
            <w:tcW w:type="dxa" w:w="4702"/>
            <w:vAlign w:val="center"/>
          </w:tcPr>
          <w:p>
            <w:pPr>
              <w:spacing w:after="0"/>
            </w:pPr>
            <w:r>
              <w:rPr>
                <w:rFonts w:ascii="宋体" w:hAnsi="宋体" w:eastAsia="宋体"/>
                <w:sz w:val="17"/>
              </w:rPr>
              <w:t>作者顺序</w:t>
            </w:r>
          </w:p>
        </w:tc>
        <w:tc>
          <w:tcPr>
            <w:tcW w:type="dxa" w:w="4702"/>
            <w:vAlign w:val="center"/>
          </w:tcPr>
          <w:p>
            <w:pPr>
              <w:spacing w:after="0"/>
            </w:pPr>
            <w:r>
              <w:rPr>
                <w:rFonts w:ascii="宋体" w:hAnsi="宋体" w:eastAsia="宋体"/>
                <w:sz w:val="17"/>
              </w:rPr>
              <w:t>作者顺序独立保存到成果人员关系表。任何姓名清洗操作均不得改变作者顺序。</w:t>
            </w:r>
          </w:p>
        </w:tc>
      </w:tr>
      <w:tr>
        <w:trPr>
          <w:cantSplit/>
        </w:trPr>
        <w:tc>
          <w:tcPr>
            <w:tcW w:type="dxa" w:w="4702"/>
            <w:vAlign w:val="center"/>
          </w:tcPr>
          <w:p>
            <w:pPr>
              <w:spacing w:after="0"/>
            </w:pPr>
            <w:r>
              <w:rPr>
                <w:rFonts w:ascii="宋体" w:hAnsi="宋体" w:eastAsia="宋体"/>
                <w:sz w:val="17"/>
              </w:rPr>
              <w:t>机构名称</w:t>
            </w:r>
          </w:p>
        </w:tc>
        <w:tc>
          <w:tcPr>
            <w:tcW w:type="dxa" w:w="4702"/>
            <w:vAlign w:val="center"/>
          </w:tcPr>
          <w:p>
            <w:pPr>
              <w:spacing w:after="0"/>
            </w:pPr>
            <w:r>
              <w:rPr>
                <w:rFonts w:ascii="宋体" w:hAnsi="宋体" w:eastAsia="宋体"/>
                <w:sz w:val="17"/>
              </w:rPr>
              <w:t>保存来源机构名称、规范机构名称、机构别名、所在国家或地区和 ROR ID。</w:t>
            </w:r>
          </w:p>
        </w:tc>
      </w:tr>
      <w:tr>
        <w:trPr>
          <w:cantSplit/>
        </w:trPr>
        <w:tc>
          <w:tcPr>
            <w:tcW w:type="dxa" w:w="4702"/>
            <w:vAlign w:val="center"/>
          </w:tcPr>
          <w:p>
            <w:pPr>
              <w:spacing w:after="0"/>
            </w:pPr>
            <w:r>
              <w:rPr>
                <w:rFonts w:ascii="宋体" w:hAnsi="宋体" w:eastAsia="宋体"/>
                <w:sz w:val="17"/>
              </w:rPr>
              <w:t>机构层级</w:t>
            </w:r>
          </w:p>
        </w:tc>
        <w:tc>
          <w:tcPr>
            <w:tcW w:type="dxa" w:w="4702"/>
            <w:vAlign w:val="center"/>
          </w:tcPr>
          <w:p>
            <w:pPr>
              <w:spacing w:after="0"/>
            </w:pPr>
            <w:r>
              <w:rPr>
                <w:rFonts w:ascii="宋体" w:hAnsi="宋体" w:eastAsia="宋体"/>
                <w:sz w:val="17"/>
              </w:rPr>
              <w:t>院系、实验室和研究中心保存为机构层级信息，学校和科研院所作为顶层机构实体。</w:t>
            </w:r>
          </w:p>
        </w:tc>
      </w:tr>
    </w:tbl>
    <w:p/>
    <w:p>
      <w:pPr>
        <w:pStyle w:val="Heading2"/>
      </w:pPr>
      <w:r>
        <w:t>3.5 接口约束</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AF7"/>
            <w:vAlign w:val="center"/>
          </w:tcPr>
          <w:p>
            <w:pPr>
              <w:jc w:val="center"/>
            </w:pPr>
            <w:r>
              <w:rPr>
                <w:rFonts w:ascii="宋体" w:hAnsi="宋体" w:eastAsia="宋体"/>
                <w:b/>
                <w:sz w:val="17"/>
              </w:rPr>
              <w:t>接口</w:t>
            </w:r>
          </w:p>
        </w:tc>
        <w:tc>
          <w:tcPr>
            <w:tcW w:type="dxa" w:w="3135"/>
            <w:shd w:fill="D9EAF7"/>
            <w:vAlign w:val="center"/>
          </w:tcPr>
          <w:p>
            <w:pPr>
              <w:jc w:val="center"/>
            </w:pPr>
            <w:r>
              <w:rPr>
                <w:rFonts w:ascii="宋体" w:hAnsi="宋体" w:eastAsia="宋体"/>
                <w:b/>
                <w:sz w:val="17"/>
              </w:rPr>
              <w:t>输入</w:t>
            </w:r>
          </w:p>
        </w:tc>
        <w:tc>
          <w:tcPr>
            <w:tcW w:type="dxa" w:w="3135"/>
            <w:shd w:fill="D9EAF7"/>
            <w:vAlign w:val="center"/>
          </w:tcPr>
          <w:p>
            <w:pPr>
              <w:jc w:val="center"/>
            </w:pPr>
            <w:r>
              <w:rPr>
                <w:rFonts w:ascii="宋体" w:hAnsi="宋体" w:eastAsia="宋体"/>
                <w:b/>
                <w:sz w:val="17"/>
              </w:rPr>
              <w:t>输出</w:t>
            </w:r>
          </w:p>
        </w:tc>
      </w:tr>
      <w:tr>
        <w:trPr>
          <w:cantSplit/>
        </w:trPr>
        <w:tc>
          <w:tcPr>
            <w:tcW w:type="dxa" w:w="3135"/>
            <w:vAlign w:val="center"/>
          </w:tcPr>
          <w:p>
            <w:pPr>
              <w:spacing w:after="0"/>
            </w:pPr>
            <w:r>
              <w:rPr>
                <w:rFonts w:ascii="宋体" w:hAnsi="宋体" w:eastAsia="宋体"/>
                <w:sz w:val="17"/>
              </w:rPr>
              <w:t>POST /internal/data-cleaning/jobs</w:t>
            </w:r>
          </w:p>
        </w:tc>
        <w:tc>
          <w:tcPr>
            <w:tcW w:type="dxa" w:w="3135"/>
            <w:vAlign w:val="center"/>
          </w:tcPr>
          <w:p>
            <w:pPr>
              <w:spacing w:after="0"/>
            </w:pPr>
            <w:r>
              <w:rPr>
                <w:rFonts w:ascii="宋体" w:hAnsi="宋体" w:eastAsia="宋体"/>
                <w:sz w:val="17"/>
              </w:rPr>
              <w:t>source_record_id 列表、清洗规则版本。</w:t>
            </w:r>
          </w:p>
        </w:tc>
        <w:tc>
          <w:tcPr>
            <w:tcW w:type="dxa" w:w="3135"/>
            <w:vAlign w:val="center"/>
          </w:tcPr>
          <w:p>
            <w:pPr>
              <w:spacing w:after="0"/>
            </w:pPr>
            <w:r>
              <w:rPr>
                <w:rFonts w:ascii="宋体" w:hAnsi="宋体" w:eastAsia="宋体"/>
                <w:sz w:val="17"/>
              </w:rPr>
              <w:t>清洗任务编号。</w:t>
            </w:r>
          </w:p>
        </w:tc>
      </w:tr>
      <w:tr>
        <w:trPr>
          <w:cantSplit/>
        </w:trPr>
        <w:tc>
          <w:tcPr>
            <w:tcW w:type="dxa" w:w="3135"/>
            <w:vAlign w:val="center"/>
          </w:tcPr>
          <w:p>
            <w:pPr>
              <w:spacing w:after="0"/>
            </w:pPr>
            <w:r>
              <w:rPr>
                <w:rFonts w:ascii="宋体" w:hAnsi="宋体" w:eastAsia="宋体"/>
                <w:sz w:val="17"/>
              </w:rPr>
              <w:t>GET /internal/data-cleaning/jobs/{id}</w:t>
            </w:r>
          </w:p>
        </w:tc>
        <w:tc>
          <w:tcPr>
            <w:tcW w:type="dxa" w:w="3135"/>
            <w:vAlign w:val="center"/>
          </w:tcPr>
          <w:p>
            <w:pPr>
              <w:spacing w:after="0"/>
            </w:pPr>
            <w:r>
              <w:rPr>
                <w:rFonts w:ascii="宋体" w:hAnsi="宋体" w:eastAsia="宋体"/>
                <w:sz w:val="17"/>
              </w:rPr>
              <w:t>清洗任务编号。</w:t>
            </w:r>
          </w:p>
        </w:tc>
        <w:tc>
          <w:tcPr>
            <w:tcW w:type="dxa" w:w="3135"/>
            <w:vAlign w:val="center"/>
          </w:tcPr>
          <w:p>
            <w:pPr>
              <w:spacing w:after="0"/>
            </w:pPr>
            <w:r>
              <w:rPr>
                <w:rFonts w:ascii="宋体" w:hAnsi="宋体" w:eastAsia="宋体"/>
                <w:sz w:val="17"/>
              </w:rPr>
              <w:t>任务状态、处理数量、异常数量。</w:t>
            </w:r>
          </w:p>
        </w:tc>
      </w:tr>
      <w:tr>
        <w:trPr>
          <w:cantSplit/>
        </w:trPr>
        <w:tc>
          <w:tcPr>
            <w:tcW w:type="dxa" w:w="3135"/>
            <w:vAlign w:val="center"/>
          </w:tcPr>
          <w:p>
            <w:pPr>
              <w:spacing w:after="0"/>
            </w:pPr>
            <w:r>
              <w:rPr>
                <w:rFonts w:ascii="宋体" w:hAnsi="宋体" w:eastAsia="宋体"/>
                <w:sz w:val="17"/>
              </w:rPr>
              <w:t>GET /internal/normalized-records/{id}</w:t>
            </w:r>
          </w:p>
        </w:tc>
        <w:tc>
          <w:tcPr>
            <w:tcW w:type="dxa" w:w="3135"/>
            <w:vAlign w:val="center"/>
          </w:tcPr>
          <w:p>
            <w:pPr>
              <w:spacing w:after="0"/>
            </w:pPr>
            <w:r>
              <w:rPr>
                <w:rFonts w:ascii="宋体" w:hAnsi="宋体" w:eastAsia="宋体"/>
                <w:sz w:val="17"/>
              </w:rPr>
              <w:t>规范化记录编号。</w:t>
            </w:r>
          </w:p>
        </w:tc>
        <w:tc>
          <w:tcPr>
            <w:tcW w:type="dxa" w:w="3135"/>
            <w:vAlign w:val="center"/>
          </w:tcPr>
          <w:p>
            <w:pPr>
              <w:spacing w:after="0"/>
            </w:pPr>
            <w:r>
              <w:rPr>
                <w:rFonts w:ascii="宋体" w:hAnsi="宋体" w:eastAsia="宋体"/>
                <w:sz w:val="17"/>
              </w:rPr>
              <w:t>规范化字段、原始字段、质量标记。</w:t>
            </w:r>
          </w:p>
        </w:tc>
      </w:tr>
    </w:tbl>
    <w:p/>
    <w:p>
      <w:pPr>
        <w:pStyle w:val="Heading2"/>
      </w:pPr>
      <w:r>
        <w:t>3.6 测试要求</w:t>
      </w:r>
    </w:p>
    <w:p>
      <w:pPr>
        <w:pStyle w:val="ListBullet"/>
        <w:spacing w:after="40"/>
      </w:pPr>
      <w:r>
        <w:t>构造 DOI、ORCID、ROR、ISSN 和专利号的合法样本与非法样本。</w:t>
      </w:r>
    </w:p>
    <w:p>
      <w:pPr>
        <w:pStyle w:val="ListBullet"/>
        <w:spacing w:after="40"/>
      </w:pPr>
      <w:r>
        <w:t>构造包含 HTML、全角字符、连续空白、多语言姓名和缺失字段的样本。</w:t>
      </w:r>
    </w:p>
    <w:p>
      <w:pPr>
        <w:pStyle w:val="ListBullet"/>
        <w:spacing w:after="40"/>
      </w:pPr>
      <w:r>
        <w:t>清洗规则单元测试覆盖率不得低于 80%。</w:t>
      </w:r>
    </w:p>
    <w:p>
      <w:pPr>
        <w:pStyle w:val="ListBullet"/>
        <w:spacing w:after="40"/>
      </w:pPr>
      <w:r>
        <w:t>随机抽样 500 条记录进行人工复核，字段清洗正确率需要达到 99%。</w:t>
      </w:r>
    </w:p>
    <w:p>
      <w:pPr>
        <w:pStyle w:val="Heading1"/>
      </w:pPr>
      <w:r>
        <w:t>4. SPEC-DATA-02 成果去重规范</w:t>
      </w:r>
    </w:p>
    <w:p>
      <w:pPr>
        <w:pStyle w:val="Heading2"/>
      </w:pPr>
      <w:r>
        <w:t>4.1 功能目标</w:t>
      </w:r>
    </w:p>
    <w:p>
      <w:r>
        <w:t>成果去重模块负责识别多个来源中指向同一论文、同一专利公开文献或者同一科技奖励的记录，并将其合并到统一成果实体。模块需要保留所有来源记录，并记录合并依据。</w:t>
      </w:r>
    </w:p>
    <w:p>
      <w:pPr>
        <w:pStyle w:val="Heading2"/>
      </w:pPr>
      <w:r>
        <w:t>4.2 论文去重算法</w:t>
      </w:r>
    </w:p>
    <w:p>
      <w:r>
        <w:t>论文去重优先使用 DOI 精确匹配。两个记录均具有合法 DOI 并且规范化 DOI 完全相同时，系统直接判定为同一论文。缺少 DOI 时，系统使用候选召回和相似度评分。</w:t>
      </w:r>
    </w:p>
    <w:p>
      <w:pPr>
        <w:jc w:val="center"/>
      </w:pPr>
      <w:r>
        <w:rPr>
          <w:b/>
        </w:rPr>
        <w:t>S_paper = 0.55×S_title + 0.20×S_author + 0.10×S_year + 0.10×S_venue + 0.05×S_pages</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7"/>
              </w:rPr>
              <w:t>分值区间</w:t>
            </w:r>
          </w:p>
        </w:tc>
        <w:tc>
          <w:tcPr>
            <w:tcW w:type="dxa" w:w="4702"/>
            <w:shd w:fill="D9EAF7"/>
            <w:vAlign w:val="center"/>
          </w:tcPr>
          <w:p>
            <w:pPr>
              <w:jc w:val="center"/>
            </w:pPr>
            <w:r>
              <w:rPr>
                <w:rFonts w:ascii="宋体" w:hAnsi="宋体" w:eastAsia="宋体"/>
                <w:b/>
                <w:sz w:val="17"/>
              </w:rPr>
              <w:t>处理结果</w:t>
            </w:r>
          </w:p>
        </w:tc>
      </w:tr>
      <w:tr>
        <w:trPr>
          <w:cantSplit/>
        </w:trPr>
        <w:tc>
          <w:tcPr>
            <w:tcW w:type="dxa" w:w="4702"/>
            <w:vAlign w:val="center"/>
          </w:tcPr>
          <w:p>
            <w:pPr>
              <w:spacing w:after="0"/>
            </w:pPr>
            <w:r>
              <w:rPr>
                <w:rFonts w:ascii="宋体" w:hAnsi="宋体" w:eastAsia="宋体"/>
                <w:sz w:val="17"/>
              </w:rPr>
              <w:t>S_paper ≥ 0.92</w:t>
            </w:r>
          </w:p>
        </w:tc>
        <w:tc>
          <w:tcPr>
            <w:tcW w:type="dxa" w:w="4702"/>
            <w:vAlign w:val="center"/>
          </w:tcPr>
          <w:p>
            <w:pPr>
              <w:spacing w:after="0"/>
            </w:pPr>
            <w:r>
              <w:rPr>
                <w:rFonts w:ascii="宋体" w:hAnsi="宋体" w:eastAsia="宋体"/>
                <w:sz w:val="17"/>
              </w:rPr>
              <w:t>自动合并为同一论文。</w:t>
            </w:r>
          </w:p>
        </w:tc>
      </w:tr>
      <w:tr>
        <w:trPr>
          <w:cantSplit/>
        </w:trPr>
        <w:tc>
          <w:tcPr>
            <w:tcW w:type="dxa" w:w="4702"/>
            <w:vAlign w:val="center"/>
          </w:tcPr>
          <w:p>
            <w:pPr>
              <w:spacing w:after="0"/>
            </w:pPr>
            <w:r>
              <w:rPr>
                <w:rFonts w:ascii="宋体" w:hAnsi="宋体" w:eastAsia="宋体"/>
                <w:sz w:val="17"/>
              </w:rPr>
              <w:t>0.82 ≤ S_paper &lt; 0.92</w:t>
            </w:r>
          </w:p>
        </w:tc>
        <w:tc>
          <w:tcPr>
            <w:tcW w:type="dxa" w:w="4702"/>
            <w:vAlign w:val="center"/>
          </w:tcPr>
          <w:p>
            <w:pPr>
              <w:spacing w:after="0"/>
            </w:pPr>
            <w:r>
              <w:rPr>
                <w:rFonts w:ascii="宋体" w:hAnsi="宋体" w:eastAsia="宋体"/>
                <w:sz w:val="17"/>
              </w:rPr>
              <w:t>进入人工复核队列。</w:t>
            </w:r>
          </w:p>
        </w:tc>
      </w:tr>
      <w:tr>
        <w:trPr>
          <w:cantSplit/>
        </w:trPr>
        <w:tc>
          <w:tcPr>
            <w:tcW w:type="dxa" w:w="4702"/>
            <w:vAlign w:val="center"/>
          </w:tcPr>
          <w:p>
            <w:pPr>
              <w:spacing w:after="0"/>
            </w:pPr>
            <w:r>
              <w:rPr>
                <w:rFonts w:ascii="宋体" w:hAnsi="宋体" w:eastAsia="宋体"/>
                <w:sz w:val="17"/>
              </w:rPr>
              <w:t>S_paper &lt; 0.82</w:t>
            </w:r>
          </w:p>
        </w:tc>
        <w:tc>
          <w:tcPr>
            <w:tcW w:type="dxa" w:w="4702"/>
            <w:vAlign w:val="center"/>
          </w:tcPr>
          <w:p>
            <w:pPr>
              <w:spacing w:after="0"/>
            </w:pPr>
            <w:r>
              <w:rPr>
                <w:rFonts w:ascii="宋体" w:hAnsi="宋体" w:eastAsia="宋体"/>
                <w:sz w:val="17"/>
              </w:rPr>
              <w:t>保持独立论文记录。</w:t>
            </w:r>
          </w:p>
        </w:tc>
      </w:tr>
    </w:tbl>
    <w:p/>
    <w:p>
      <w:pPr>
        <w:pStyle w:val="Heading2"/>
      </w:pPr>
      <w:r>
        <w:t>4.3 专利去重算法</w:t>
      </w:r>
    </w:p>
    <w:p>
      <w:pPr>
        <w:pStyle w:val="ListNumber"/>
        <w:spacing w:after="40"/>
      </w:pPr>
      <w:r>
        <w:t>具体专利公开文献使用主管机构代码、公开号和文献种类代码作为首选唯一键。</w:t>
      </w:r>
    </w:p>
    <w:p>
      <w:pPr>
        <w:pStyle w:val="ListNumber"/>
        <w:spacing w:after="40"/>
      </w:pPr>
      <w:r>
        <w:t>来源平台缺少文献种类代码时，系统使用主管机构代码、公开号、申请号和公开日期共同判定。</w:t>
      </w:r>
    </w:p>
    <w:p>
      <w:pPr>
        <w:pStyle w:val="ListNumber"/>
        <w:spacing w:after="40"/>
      </w:pPr>
      <w:r>
        <w:t>不同国家或地区针对同一发明形成的公开文献保持独立记录，并通过专利家族实体关联。</w:t>
      </w:r>
    </w:p>
    <w:p>
      <w:pPr>
        <w:pStyle w:val="ListNumber"/>
        <w:spacing w:after="40"/>
      </w:pPr>
      <w:r>
        <w:t>同一申请在公开、授权等阶段形成不同文献种类代码时，系统保持不同公开文献，并通过申请实体建立阶段关系。</w:t>
      </w:r>
    </w:p>
    <w:p>
      <w:pPr>
        <w:pStyle w:val="Heading2"/>
      </w:pPr>
      <w:r>
        <w:t>4.4 科技奖励去重算法</w:t>
      </w:r>
    </w:p>
    <w:p>
      <w:r>
        <w:t>科技奖励记录使用授奖机构、奖项名称、获奖年度、奖励类别、奖励等级和项目名称构成复合匹配键。复合键不完全一致时执行评分。</w:t>
      </w:r>
    </w:p>
    <w:p>
      <w:pPr>
        <w:jc w:val="center"/>
      </w:pPr>
      <w:r>
        <w:rPr>
          <w:b/>
        </w:rPr>
        <w:t>S_award = 0.50×S_project + 0.20×S_person + 0.15×S_org + 0.10×S_category + 0.05×S_year</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7"/>
              </w:rPr>
              <w:t>分值区间</w:t>
            </w:r>
          </w:p>
        </w:tc>
        <w:tc>
          <w:tcPr>
            <w:tcW w:type="dxa" w:w="4702"/>
            <w:shd w:fill="D9EAF7"/>
            <w:vAlign w:val="center"/>
          </w:tcPr>
          <w:p>
            <w:pPr>
              <w:jc w:val="center"/>
            </w:pPr>
            <w:r>
              <w:rPr>
                <w:rFonts w:ascii="宋体" w:hAnsi="宋体" w:eastAsia="宋体"/>
                <w:b/>
                <w:sz w:val="17"/>
              </w:rPr>
              <w:t>处理结果</w:t>
            </w:r>
          </w:p>
        </w:tc>
      </w:tr>
      <w:tr>
        <w:trPr>
          <w:cantSplit/>
        </w:trPr>
        <w:tc>
          <w:tcPr>
            <w:tcW w:type="dxa" w:w="4702"/>
            <w:vAlign w:val="center"/>
          </w:tcPr>
          <w:p>
            <w:pPr>
              <w:spacing w:after="0"/>
            </w:pPr>
            <w:r>
              <w:rPr>
                <w:rFonts w:ascii="宋体" w:hAnsi="宋体" w:eastAsia="宋体"/>
                <w:sz w:val="17"/>
              </w:rPr>
              <w:t>S_award ≥ 0.93</w:t>
            </w:r>
          </w:p>
        </w:tc>
        <w:tc>
          <w:tcPr>
            <w:tcW w:type="dxa" w:w="4702"/>
            <w:vAlign w:val="center"/>
          </w:tcPr>
          <w:p>
            <w:pPr>
              <w:spacing w:after="0"/>
            </w:pPr>
            <w:r>
              <w:rPr>
                <w:rFonts w:ascii="宋体" w:hAnsi="宋体" w:eastAsia="宋体"/>
                <w:sz w:val="17"/>
              </w:rPr>
              <w:t>自动合并。</w:t>
            </w:r>
          </w:p>
        </w:tc>
      </w:tr>
      <w:tr>
        <w:trPr>
          <w:cantSplit/>
        </w:trPr>
        <w:tc>
          <w:tcPr>
            <w:tcW w:type="dxa" w:w="4702"/>
            <w:vAlign w:val="center"/>
          </w:tcPr>
          <w:p>
            <w:pPr>
              <w:spacing w:after="0"/>
            </w:pPr>
            <w:r>
              <w:rPr>
                <w:rFonts w:ascii="宋体" w:hAnsi="宋体" w:eastAsia="宋体"/>
                <w:sz w:val="17"/>
              </w:rPr>
              <w:t>0.84 ≤ S_award &lt; 0.93</w:t>
            </w:r>
          </w:p>
        </w:tc>
        <w:tc>
          <w:tcPr>
            <w:tcW w:type="dxa" w:w="4702"/>
            <w:vAlign w:val="center"/>
          </w:tcPr>
          <w:p>
            <w:pPr>
              <w:spacing w:after="0"/>
            </w:pPr>
            <w:r>
              <w:rPr>
                <w:rFonts w:ascii="宋体" w:hAnsi="宋体" w:eastAsia="宋体"/>
                <w:sz w:val="17"/>
              </w:rPr>
              <w:t>进入人工复核队列。</w:t>
            </w:r>
          </w:p>
        </w:tc>
      </w:tr>
      <w:tr>
        <w:trPr>
          <w:cantSplit/>
        </w:trPr>
        <w:tc>
          <w:tcPr>
            <w:tcW w:type="dxa" w:w="4702"/>
            <w:vAlign w:val="center"/>
          </w:tcPr>
          <w:p>
            <w:pPr>
              <w:spacing w:after="0"/>
            </w:pPr>
            <w:r>
              <w:rPr>
                <w:rFonts w:ascii="宋体" w:hAnsi="宋体" w:eastAsia="宋体"/>
                <w:sz w:val="17"/>
              </w:rPr>
              <w:t>S_award &lt; 0.84</w:t>
            </w:r>
          </w:p>
        </w:tc>
        <w:tc>
          <w:tcPr>
            <w:tcW w:type="dxa" w:w="4702"/>
            <w:vAlign w:val="center"/>
          </w:tcPr>
          <w:p>
            <w:pPr>
              <w:spacing w:after="0"/>
            </w:pPr>
            <w:r>
              <w:rPr>
                <w:rFonts w:ascii="宋体" w:hAnsi="宋体" w:eastAsia="宋体"/>
                <w:sz w:val="17"/>
              </w:rPr>
              <w:t>保持独立奖励记录。</w:t>
            </w:r>
          </w:p>
        </w:tc>
      </w:tr>
    </w:tbl>
    <w:p/>
    <w:p>
      <w:pPr>
        <w:pStyle w:val="Heading2"/>
      </w:pPr>
      <w:r>
        <w:t>4.5 合并输出要求</w:t>
      </w:r>
    </w:p>
    <w:p>
      <w:pPr>
        <w:pStyle w:val="ListBullet"/>
        <w:spacing w:after="40"/>
      </w:pPr>
      <w:r>
        <w:t>合并操作生成 canonical_work_id。</w:t>
      </w:r>
    </w:p>
    <w:p>
      <w:pPr>
        <w:pStyle w:val="ListBullet"/>
        <w:spacing w:after="40"/>
      </w:pPr>
      <w:r>
        <w:t>合并操作写入 entity_source_map。</w:t>
      </w:r>
    </w:p>
    <w:p>
      <w:pPr>
        <w:pStyle w:val="ListBullet"/>
        <w:spacing w:after="40"/>
      </w:pPr>
      <w:r>
        <w:t>每一个字段的主值需要写入 field_provenance。</w:t>
      </w:r>
    </w:p>
    <w:p>
      <w:pPr>
        <w:pStyle w:val="ListBullet"/>
        <w:spacing w:after="40"/>
      </w:pPr>
      <w:r>
        <w:t>合并前实体、合并后实体、算法版本、评分明细和操作时间需要写入审计日志。</w:t>
      </w:r>
    </w:p>
    <w:p>
      <w:pPr>
        <w:pStyle w:val="Heading1"/>
      </w:pPr>
      <w:r>
        <w:t>5. SPEC-DATA-03 作者与机构消歧规范</w:t>
      </w:r>
    </w:p>
    <w:p>
      <w:pPr>
        <w:pStyle w:val="Heading2"/>
      </w:pPr>
      <w:r>
        <w:t>5.1 功能目标</w:t>
      </w:r>
    </w:p>
    <w:p>
      <w:r>
        <w:t>作者与机构消歧模块负责将不同来源中的作者记录和机构记录归并到统一实体。模块需要支持自动合并、人工复核和门户认领修正。</w:t>
      </w:r>
    </w:p>
    <w:p>
      <w:pPr>
        <w:pStyle w:val="Heading2"/>
      </w:pPr>
      <w:r>
        <w:t>5.2 作者消歧算法</w:t>
      </w:r>
    </w:p>
    <w:p>
      <w:r>
        <w:t>经过校验的 ORCID 属于强身份标识。两个作者记录具有同一 ORCID 时，系统合并为同一研究人员实体。缺少强身份标识时，系统执行评分。</w:t>
      </w:r>
    </w:p>
    <w:p>
      <w:pPr>
        <w:jc w:val="center"/>
      </w:pPr>
      <w:r>
        <w:rPr>
          <w:b/>
        </w:rPr>
        <w:t>S_author = 0.30×S_name + 0.25×S_affiliation + 0.25×S_coauthor + 0.15×S_topic + 0.05×S_time</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7"/>
              </w:rPr>
              <w:t>分值区间</w:t>
            </w:r>
          </w:p>
        </w:tc>
        <w:tc>
          <w:tcPr>
            <w:tcW w:type="dxa" w:w="4702"/>
            <w:shd w:fill="D9EAF7"/>
            <w:vAlign w:val="center"/>
          </w:tcPr>
          <w:p>
            <w:pPr>
              <w:jc w:val="center"/>
            </w:pPr>
            <w:r>
              <w:rPr>
                <w:rFonts w:ascii="宋体" w:hAnsi="宋体" w:eastAsia="宋体"/>
                <w:b/>
                <w:sz w:val="17"/>
              </w:rPr>
              <w:t>处理结果</w:t>
            </w:r>
          </w:p>
        </w:tc>
      </w:tr>
      <w:tr>
        <w:trPr>
          <w:cantSplit/>
        </w:trPr>
        <w:tc>
          <w:tcPr>
            <w:tcW w:type="dxa" w:w="4702"/>
            <w:vAlign w:val="center"/>
          </w:tcPr>
          <w:p>
            <w:pPr>
              <w:spacing w:after="0"/>
            </w:pPr>
            <w:r>
              <w:rPr>
                <w:rFonts w:ascii="宋体" w:hAnsi="宋体" w:eastAsia="宋体"/>
                <w:sz w:val="17"/>
              </w:rPr>
              <w:t>S_author ≥ 0.95</w:t>
            </w:r>
          </w:p>
        </w:tc>
        <w:tc>
          <w:tcPr>
            <w:tcW w:type="dxa" w:w="4702"/>
            <w:vAlign w:val="center"/>
          </w:tcPr>
          <w:p>
            <w:pPr>
              <w:spacing w:after="0"/>
            </w:pPr>
            <w:r>
              <w:rPr>
                <w:rFonts w:ascii="宋体" w:hAnsi="宋体" w:eastAsia="宋体"/>
                <w:sz w:val="17"/>
              </w:rPr>
              <w:t>自动合并。</w:t>
            </w:r>
          </w:p>
        </w:tc>
      </w:tr>
      <w:tr>
        <w:trPr>
          <w:cantSplit/>
        </w:trPr>
        <w:tc>
          <w:tcPr>
            <w:tcW w:type="dxa" w:w="4702"/>
            <w:vAlign w:val="center"/>
          </w:tcPr>
          <w:p>
            <w:pPr>
              <w:spacing w:after="0"/>
            </w:pPr>
            <w:r>
              <w:rPr>
                <w:rFonts w:ascii="宋体" w:hAnsi="宋体" w:eastAsia="宋体"/>
                <w:sz w:val="17"/>
              </w:rPr>
              <w:t>0.85 ≤ S_author &lt; 0.95</w:t>
            </w:r>
          </w:p>
        </w:tc>
        <w:tc>
          <w:tcPr>
            <w:tcW w:type="dxa" w:w="4702"/>
            <w:vAlign w:val="center"/>
          </w:tcPr>
          <w:p>
            <w:pPr>
              <w:spacing w:after="0"/>
            </w:pPr>
            <w:r>
              <w:rPr>
                <w:rFonts w:ascii="宋体" w:hAnsi="宋体" w:eastAsia="宋体"/>
                <w:sz w:val="17"/>
              </w:rPr>
              <w:t>进入人工复核队列。</w:t>
            </w:r>
          </w:p>
        </w:tc>
      </w:tr>
      <w:tr>
        <w:trPr>
          <w:cantSplit/>
        </w:trPr>
        <w:tc>
          <w:tcPr>
            <w:tcW w:type="dxa" w:w="4702"/>
            <w:vAlign w:val="center"/>
          </w:tcPr>
          <w:p>
            <w:pPr>
              <w:spacing w:after="0"/>
            </w:pPr>
            <w:r>
              <w:rPr>
                <w:rFonts w:ascii="宋体" w:hAnsi="宋体" w:eastAsia="宋体"/>
                <w:sz w:val="17"/>
              </w:rPr>
              <w:t>S_author &lt; 0.85</w:t>
            </w:r>
          </w:p>
        </w:tc>
        <w:tc>
          <w:tcPr>
            <w:tcW w:type="dxa" w:w="4702"/>
            <w:vAlign w:val="center"/>
          </w:tcPr>
          <w:p>
            <w:pPr>
              <w:spacing w:after="0"/>
            </w:pPr>
            <w:r>
              <w:rPr>
                <w:rFonts w:ascii="宋体" w:hAnsi="宋体" w:eastAsia="宋体"/>
                <w:sz w:val="17"/>
              </w:rPr>
              <w:t>保持独立研究人员实体。</w:t>
            </w:r>
          </w:p>
        </w:tc>
      </w:tr>
    </w:tbl>
    <w:p/>
    <w:p>
      <w:pPr>
        <w:pStyle w:val="Heading2"/>
      </w:pPr>
      <w:r>
        <w:t>5.3 作者消歧约束</w:t>
      </w:r>
    </w:p>
    <w:p>
      <w:pPr>
        <w:pStyle w:val="ListBullet"/>
        <w:spacing w:after="40"/>
      </w:pPr>
      <w:r>
        <w:t>姓名完全相同只能用于候选召回，不能单独作为自动合并依据。</w:t>
      </w:r>
    </w:p>
    <w:p>
      <w:pPr>
        <w:pStyle w:val="ListBullet"/>
        <w:spacing w:after="40"/>
      </w:pPr>
      <w:r>
        <w:t>中文常见姓名和高频英文姓名需要提高人工复核优先级。</w:t>
      </w:r>
    </w:p>
    <w:p>
      <w:pPr>
        <w:pStyle w:val="ListBullet"/>
        <w:spacing w:after="40"/>
      </w:pPr>
      <w:r>
        <w:t>门户认领审核通过以后，人工确认关系的可信等级高于自动消歧结果。</w:t>
      </w:r>
    </w:p>
    <w:p>
      <w:pPr>
        <w:pStyle w:val="ListBullet"/>
        <w:spacing w:after="40"/>
      </w:pPr>
      <w:r>
        <w:t>机构历史关系需要携带时间范围，不能将机构变化直接判定为作者冲突。</w:t>
      </w:r>
    </w:p>
    <w:p>
      <w:pPr>
        <w:pStyle w:val="Heading2"/>
      </w:pPr>
      <w:r>
        <w:t>5.4 机构消歧算法</w:t>
      </w:r>
    </w:p>
    <w:p>
      <w:pPr>
        <w:pStyle w:val="ListNumber"/>
        <w:spacing w:after="40"/>
      </w:pPr>
      <w:r>
        <w:t>来源记录包含 ROR ID 时，系统通过 ROR ID 直接关联机构主表。</w:t>
      </w:r>
    </w:p>
    <w:p>
      <w:pPr>
        <w:pStyle w:val="ListNumber"/>
        <w:spacing w:after="40"/>
      </w:pPr>
      <w:r>
        <w:t>来源记录缺少 ROR ID 时，系统首先匹配机构规范名称和别名表。</w:t>
      </w:r>
    </w:p>
    <w:p>
      <w:pPr>
        <w:pStyle w:val="ListNumber"/>
        <w:spacing w:after="40"/>
      </w:pPr>
      <w:r>
        <w:t>系统结合国家或地区、城市和网站域名确认机构候选。</w:t>
      </w:r>
    </w:p>
    <w:p>
      <w:pPr>
        <w:pStyle w:val="ListNumber"/>
        <w:spacing w:after="40"/>
      </w:pPr>
      <w:r>
        <w:t>机构更名、合并和拆分事件进入机构历史关系表，并保存有效时间范围。</w:t>
      </w:r>
    </w:p>
    <w:p>
      <w:pPr>
        <w:pStyle w:val="Heading2"/>
      </w:pPr>
      <w:r>
        <w:t>5.5 测试要求</w:t>
      </w:r>
    </w:p>
    <w:p>
      <w:pPr>
        <w:pStyle w:val="ListBullet"/>
        <w:spacing w:after="40"/>
      </w:pPr>
      <w:r>
        <w:t>构造同名不同人、同人不同名、机构变更和共同作者重叠样本。</w:t>
      </w:r>
    </w:p>
    <w:p>
      <w:pPr>
        <w:pStyle w:val="ListBullet"/>
        <w:spacing w:after="40"/>
      </w:pPr>
      <w:r>
        <w:t>作者消歧自动合并抽样准确率需要达到 97%。</w:t>
      </w:r>
    </w:p>
    <w:p>
      <w:pPr>
        <w:pStyle w:val="ListBullet"/>
        <w:spacing w:after="40"/>
      </w:pPr>
      <w:r>
        <w:t>机构 ROR 精确映射抽样正确率需要达到 99%。</w:t>
      </w:r>
    </w:p>
    <w:p>
      <w:pPr>
        <w:pStyle w:val="ListBullet"/>
        <w:spacing w:after="40"/>
      </w:pPr>
      <w:r>
        <w:t>人工复核任务需要能够展示评分明细和支持证据。</w:t>
      </w:r>
    </w:p>
    <w:p>
      <w:pPr>
        <w:pStyle w:val="Heading1"/>
      </w:pPr>
      <w:r>
        <w:t>6. SPEC-SEARCH-01 检索排序规范</w:t>
      </w:r>
    </w:p>
    <w:p>
      <w:pPr>
        <w:pStyle w:val="Heading2"/>
      </w:pPr>
      <w:r>
        <w:t>6.1 功能目标</w:t>
      </w:r>
    </w:p>
    <w:p>
      <w:r>
        <w:t>检索排序模块负责对统一成果库中的论文、专利和科技奖励提供关键词检索、精确标识检索、结构化筛选、分页和排序。检索结果需要返回总数量、结果列表、聚合筛选项和排序依据。</w:t>
      </w:r>
    </w:p>
    <w:p>
      <w:pPr>
        <w:pStyle w:val="Heading2"/>
      </w:pPr>
      <w:r>
        <w:t>6.2 论文排序公式</w:t>
      </w:r>
    </w:p>
    <w:p>
      <w:pPr>
        <w:jc w:val="center"/>
      </w:pPr>
      <w:r>
        <w:rPr>
          <w:b/>
        </w:rPr>
        <w:t>Score_paper = 0.80×R_text + 0.10×R_citation + 0.05×R_recency + 0.05×R_quality</w:t>
      </w:r>
    </w:p>
    <w:p>
      <w:pPr>
        <w:jc w:val="center"/>
      </w:pPr>
      <w:r>
        <w:rPr>
          <w:b/>
        </w:rPr>
        <w:t>R_text = 0.45×Title + 0.20×Abstract + 0.15×Keywords + 0.10×Author + 0.05×Venue + 0.05×Institution</w:t>
      </w:r>
    </w:p>
    <w:p>
      <w:pPr>
        <w:pStyle w:val="Heading2"/>
      </w:pPr>
      <w:r>
        <w:t>6.3 专利排序公式</w:t>
      </w:r>
    </w:p>
    <w:p>
      <w:pPr>
        <w:jc w:val="center"/>
      </w:pPr>
      <w:r>
        <w:rPr>
          <w:b/>
        </w:rPr>
        <w:t>R_patent_text = 0.40×Title + 0.25×Abstract + 0.15×Applicant + 0.10×Inventor + 0.10×CPC</w:t>
      </w:r>
    </w:p>
    <w:p>
      <w:pPr>
        <w:pStyle w:val="Heading2"/>
      </w:pPr>
      <w:r>
        <w:t>6.4 科技奖励排序公式</w:t>
      </w:r>
    </w:p>
    <w:p>
      <w:pPr>
        <w:jc w:val="center"/>
      </w:pPr>
      <w:r>
        <w:rPr>
          <w:b/>
        </w:rPr>
        <w:t>R_award_text = 0.45×ProjectName + 0.20×Person + 0.15×Organization + 0.10×AwardName + 0.10×Category</w:t>
      </w:r>
    </w:p>
    <w:p>
      <w:pPr>
        <w:pStyle w:val="Heading2"/>
      </w:pPr>
      <w:r>
        <w:t>6.5 精确匹配规则</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7"/>
              </w:rPr>
              <w:t>精确查询内容</w:t>
            </w:r>
          </w:p>
        </w:tc>
        <w:tc>
          <w:tcPr>
            <w:tcW w:type="dxa" w:w="4702"/>
            <w:shd w:fill="D9EAF7"/>
            <w:vAlign w:val="center"/>
          </w:tcPr>
          <w:p>
            <w:pPr>
              <w:jc w:val="center"/>
            </w:pPr>
            <w:r>
              <w:rPr>
                <w:rFonts w:ascii="宋体" w:hAnsi="宋体" w:eastAsia="宋体"/>
                <w:b/>
                <w:sz w:val="17"/>
              </w:rPr>
              <w:t>处理规则</w:t>
            </w:r>
          </w:p>
        </w:tc>
      </w:tr>
      <w:tr>
        <w:trPr>
          <w:cantSplit/>
        </w:trPr>
        <w:tc>
          <w:tcPr>
            <w:tcW w:type="dxa" w:w="4702"/>
            <w:vAlign w:val="center"/>
          </w:tcPr>
          <w:p>
            <w:pPr>
              <w:spacing w:after="0"/>
            </w:pPr>
            <w:r>
              <w:rPr>
                <w:rFonts w:ascii="宋体" w:hAnsi="宋体" w:eastAsia="宋体"/>
                <w:sz w:val="17"/>
              </w:rPr>
              <w:t>完整 DOI</w:t>
            </w:r>
          </w:p>
        </w:tc>
        <w:tc>
          <w:tcPr>
            <w:tcW w:type="dxa" w:w="4702"/>
            <w:vAlign w:val="center"/>
          </w:tcPr>
          <w:p>
            <w:pPr>
              <w:spacing w:after="0"/>
            </w:pPr>
            <w:r>
              <w:rPr>
                <w:rFonts w:ascii="宋体" w:hAnsi="宋体" w:eastAsia="宋体"/>
                <w:sz w:val="17"/>
              </w:rPr>
              <w:t>对应论文排列在同一查询结果的首位。</w:t>
            </w:r>
          </w:p>
        </w:tc>
      </w:tr>
      <w:tr>
        <w:trPr>
          <w:cantSplit/>
        </w:trPr>
        <w:tc>
          <w:tcPr>
            <w:tcW w:type="dxa" w:w="4702"/>
            <w:vAlign w:val="center"/>
          </w:tcPr>
          <w:p>
            <w:pPr>
              <w:spacing w:after="0"/>
            </w:pPr>
            <w:r>
              <w:rPr>
                <w:rFonts w:ascii="宋体" w:hAnsi="宋体" w:eastAsia="宋体"/>
                <w:sz w:val="17"/>
              </w:rPr>
              <w:t>完整专利公开号或申请号</w:t>
            </w:r>
          </w:p>
        </w:tc>
        <w:tc>
          <w:tcPr>
            <w:tcW w:type="dxa" w:w="4702"/>
            <w:vAlign w:val="center"/>
          </w:tcPr>
          <w:p>
            <w:pPr>
              <w:spacing w:after="0"/>
            </w:pPr>
            <w:r>
              <w:rPr>
                <w:rFonts w:ascii="宋体" w:hAnsi="宋体" w:eastAsia="宋体"/>
                <w:sz w:val="17"/>
              </w:rPr>
              <w:t>对应专利排列在同一查询结果的首位。</w:t>
            </w:r>
          </w:p>
        </w:tc>
      </w:tr>
      <w:tr>
        <w:trPr>
          <w:cantSplit/>
        </w:trPr>
        <w:tc>
          <w:tcPr>
            <w:tcW w:type="dxa" w:w="4702"/>
            <w:vAlign w:val="center"/>
          </w:tcPr>
          <w:p>
            <w:pPr>
              <w:spacing w:after="0"/>
            </w:pPr>
            <w:r>
              <w:rPr>
                <w:rFonts w:ascii="宋体" w:hAnsi="宋体" w:eastAsia="宋体"/>
                <w:sz w:val="17"/>
              </w:rPr>
              <w:t>完整 ORCID</w:t>
            </w:r>
          </w:p>
        </w:tc>
        <w:tc>
          <w:tcPr>
            <w:tcW w:type="dxa" w:w="4702"/>
            <w:vAlign w:val="center"/>
          </w:tcPr>
          <w:p>
            <w:pPr>
              <w:spacing w:after="0"/>
            </w:pPr>
            <w:r>
              <w:rPr>
                <w:rFonts w:ascii="宋体" w:hAnsi="宋体" w:eastAsia="宋体"/>
                <w:sz w:val="17"/>
              </w:rPr>
              <w:t>对应研究人员排列在研究人员检索结果首位。</w:t>
            </w:r>
          </w:p>
        </w:tc>
      </w:tr>
      <w:tr>
        <w:trPr>
          <w:cantSplit/>
        </w:trPr>
        <w:tc>
          <w:tcPr>
            <w:tcW w:type="dxa" w:w="4702"/>
            <w:vAlign w:val="center"/>
          </w:tcPr>
          <w:p>
            <w:pPr>
              <w:spacing w:after="0"/>
            </w:pPr>
            <w:r>
              <w:rPr>
                <w:rFonts w:ascii="宋体" w:hAnsi="宋体" w:eastAsia="宋体"/>
                <w:sz w:val="17"/>
              </w:rPr>
              <w:t>完整 ROR ID</w:t>
            </w:r>
          </w:p>
        </w:tc>
        <w:tc>
          <w:tcPr>
            <w:tcW w:type="dxa" w:w="4702"/>
            <w:vAlign w:val="center"/>
          </w:tcPr>
          <w:p>
            <w:pPr>
              <w:spacing w:after="0"/>
            </w:pPr>
            <w:r>
              <w:rPr>
                <w:rFonts w:ascii="宋体" w:hAnsi="宋体" w:eastAsia="宋体"/>
                <w:sz w:val="17"/>
              </w:rPr>
              <w:t>对应机构排列在机构检索结果首位。</w:t>
            </w:r>
          </w:p>
        </w:tc>
      </w:tr>
      <w:tr>
        <w:trPr>
          <w:cantSplit/>
        </w:trPr>
        <w:tc>
          <w:tcPr>
            <w:tcW w:type="dxa" w:w="4702"/>
            <w:vAlign w:val="center"/>
          </w:tcPr>
          <w:p>
            <w:pPr>
              <w:spacing w:after="0"/>
            </w:pPr>
            <w:r>
              <w:rPr>
                <w:rFonts w:ascii="宋体" w:hAnsi="宋体" w:eastAsia="宋体"/>
                <w:sz w:val="17"/>
              </w:rPr>
              <w:t>来源存在的奖励编号</w:t>
            </w:r>
          </w:p>
        </w:tc>
        <w:tc>
          <w:tcPr>
            <w:tcW w:type="dxa" w:w="4702"/>
            <w:vAlign w:val="center"/>
          </w:tcPr>
          <w:p>
            <w:pPr>
              <w:spacing w:after="0"/>
            </w:pPr>
            <w:r>
              <w:rPr>
                <w:rFonts w:ascii="宋体" w:hAnsi="宋体" w:eastAsia="宋体"/>
                <w:sz w:val="17"/>
              </w:rPr>
              <w:t>对应科技奖励排列在奖励检索结果首位。</w:t>
            </w:r>
          </w:p>
        </w:tc>
      </w:tr>
    </w:tbl>
    <w:p/>
    <w:p>
      <w:pPr>
        <w:pStyle w:val="Heading2"/>
      </w:pPr>
      <w:r>
        <w:t>6.6 接口约束</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AF7"/>
            <w:vAlign w:val="center"/>
          </w:tcPr>
          <w:p>
            <w:pPr>
              <w:jc w:val="center"/>
            </w:pPr>
            <w:r>
              <w:rPr>
                <w:rFonts w:ascii="宋体" w:hAnsi="宋体" w:eastAsia="宋体"/>
                <w:b/>
                <w:sz w:val="17"/>
              </w:rPr>
              <w:t>参数</w:t>
            </w:r>
          </w:p>
        </w:tc>
        <w:tc>
          <w:tcPr>
            <w:tcW w:type="dxa" w:w="4702"/>
            <w:shd w:fill="D9EAF7"/>
            <w:vAlign w:val="center"/>
          </w:tcPr>
          <w:p>
            <w:pPr>
              <w:jc w:val="center"/>
            </w:pPr>
            <w:r>
              <w:rPr>
                <w:rFonts w:ascii="宋体" w:hAnsi="宋体" w:eastAsia="宋体"/>
                <w:b/>
                <w:sz w:val="17"/>
              </w:rPr>
              <w:t>规则</w:t>
            </w:r>
          </w:p>
        </w:tc>
      </w:tr>
      <w:tr>
        <w:trPr>
          <w:cantSplit/>
        </w:trPr>
        <w:tc>
          <w:tcPr>
            <w:tcW w:type="dxa" w:w="4702"/>
            <w:vAlign w:val="center"/>
          </w:tcPr>
          <w:p>
            <w:pPr>
              <w:spacing w:after="0"/>
            </w:pPr>
            <w:r>
              <w:rPr>
                <w:rFonts w:ascii="宋体" w:hAnsi="宋体" w:eastAsia="宋体"/>
                <w:sz w:val="17"/>
              </w:rPr>
              <w:t>query</w:t>
            </w:r>
          </w:p>
        </w:tc>
        <w:tc>
          <w:tcPr>
            <w:tcW w:type="dxa" w:w="4702"/>
            <w:vAlign w:val="center"/>
          </w:tcPr>
          <w:p>
            <w:pPr>
              <w:spacing w:after="0"/>
            </w:pPr>
            <w:r>
              <w:rPr>
                <w:rFonts w:ascii="宋体" w:hAnsi="宋体" w:eastAsia="宋体"/>
                <w:sz w:val="17"/>
              </w:rPr>
              <w:t>支持中文、英文、数字和常见标识符。空查询需要配合筛选条件或者返回热门结果。</w:t>
            </w:r>
          </w:p>
        </w:tc>
      </w:tr>
      <w:tr>
        <w:trPr>
          <w:cantSplit/>
        </w:trPr>
        <w:tc>
          <w:tcPr>
            <w:tcW w:type="dxa" w:w="4702"/>
            <w:vAlign w:val="center"/>
          </w:tcPr>
          <w:p>
            <w:pPr>
              <w:spacing w:after="0"/>
            </w:pPr>
            <w:r>
              <w:rPr>
                <w:rFonts w:ascii="宋体" w:hAnsi="宋体" w:eastAsia="宋体"/>
                <w:sz w:val="17"/>
              </w:rPr>
              <w:t>type</w:t>
            </w:r>
          </w:p>
        </w:tc>
        <w:tc>
          <w:tcPr>
            <w:tcW w:type="dxa" w:w="4702"/>
            <w:vAlign w:val="center"/>
          </w:tcPr>
          <w:p>
            <w:pPr>
              <w:spacing w:after="0"/>
            </w:pPr>
            <w:r>
              <w:rPr>
                <w:rFonts w:ascii="宋体" w:hAnsi="宋体" w:eastAsia="宋体"/>
                <w:sz w:val="17"/>
              </w:rPr>
              <w:t>支持 paper、patent、project、award 和 all。</w:t>
            </w:r>
          </w:p>
        </w:tc>
      </w:tr>
      <w:tr>
        <w:trPr>
          <w:cantSplit/>
        </w:trPr>
        <w:tc>
          <w:tcPr>
            <w:tcW w:type="dxa" w:w="4702"/>
            <w:vAlign w:val="center"/>
          </w:tcPr>
          <w:p>
            <w:pPr>
              <w:spacing w:after="0"/>
            </w:pPr>
            <w:r>
              <w:rPr>
                <w:rFonts w:ascii="宋体" w:hAnsi="宋体" w:eastAsia="宋体"/>
                <w:sz w:val="17"/>
              </w:rPr>
              <w:t>filter</w:t>
            </w:r>
          </w:p>
        </w:tc>
        <w:tc>
          <w:tcPr>
            <w:tcW w:type="dxa" w:w="4702"/>
            <w:vAlign w:val="center"/>
          </w:tcPr>
          <w:p>
            <w:pPr>
              <w:spacing w:after="0"/>
            </w:pPr>
            <w:r>
              <w:rPr>
                <w:rFonts w:ascii="宋体" w:hAnsi="宋体" w:eastAsia="宋体"/>
                <w:sz w:val="17"/>
              </w:rPr>
              <w:t>支持年份、领域、机构、作者、成果类型、来源、专利分类和奖励等级。</w:t>
            </w:r>
          </w:p>
        </w:tc>
      </w:tr>
      <w:tr>
        <w:trPr>
          <w:cantSplit/>
        </w:trPr>
        <w:tc>
          <w:tcPr>
            <w:tcW w:type="dxa" w:w="4702"/>
            <w:vAlign w:val="center"/>
          </w:tcPr>
          <w:p>
            <w:pPr>
              <w:spacing w:after="0"/>
            </w:pPr>
            <w:r>
              <w:rPr>
                <w:rFonts w:ascii="宋体" w:hAnsi="宋体" w:eastAsia="宋体"/>
                <w:sz w:val="17"/>
              </w:rPr>
              <w:t>sort</w:t>
            </w:r>
          </w:p>
        </w:tc>
        <w:tc>
          <w:tcPr>
            <w:tcW w:type="dxa" w:w="4702"/>
            <w:vAlign w:val="center"/>
          </w:tcPr>
          <w:p>
            <w:pPr>
              <w:spacing w:after="0"/>
            </w:pPr>
            <w:r>
              <w:rPr>
                <w:rFonts w:ascii="宋体" w:hAnsi="宋体" w:eastAsia="宋体"/>
                <w:sz w:val="17"/>
              </w:rPr>
              <w:t>支持 relevance、date_desc、citation_desc、award_year_desc。</w:t>
            </w:r>
          </w:p>
        </w:tc>
      </w:tr>
      <w:tr>
        <w:trPr>
          <w:cantSplit/>
        </w:trPr>
        <w:tc>
          <w:tcPr>
            <w:tcW w:type="dxa" w:w="4702"/>
            <w:vAlign w:val="center"/>
          </w:tcPr>
          <w:p>
            <w:pPr>
              <w:spacing w:after="0"/>
            </w:pPr>
            <w:r>
              <w:rPr>
                <w:rFonts w:ascii="宋体" w:hAnsi="宋体" w:eastAsia="宋体"/>
                <w:sz w:val="17"/>
              </w:rPr>
              <w:t>page_size</w:t>
            </w:r>
          </w:p>
        </w:tc>
        <w:tc>
          <w:tcPr>
            <w:tcW w:type="dxa" w:w="4702"/>
            <w:vAlign w:val="center"/>
          </w:tcPr>
          <w:p>
            <w:pPr>
              <w:spacing w:after="0"/>
            </w:pPr>
            <w:r>
              <w:rPr>
                <w:rFonts w:ascii="宋体" w:hAnsi="宋体" w:eastAsia="宋体"/>
                <w:sz w:val="17"/>
              </w:rPr>
              <w:t>默认 10，最大 100。</w:t>
            </w:r>
          </w:p>
        </w:tc>
      </w:tr>
    </w:tbl>
    <w:p/>
    <w:p>
      <w:pPr>
        <w:pStyle w:val="Heading2"/>
      </w:pPr>
      <w:r>
        <w:t>6.7 测试要求</w:t>
      </w:r>
    </w:p>
    <w:p>
      <w:pPr>
        <w:pStyle w:val="ListBullet"/>
        <w:spacing w:after="40"/>
      </w:pPr>
      <w:r>
        <w:t>构造不少于 50 组代表性查询。</w:t>
      </w:r>
    </w:p>
    <w:p>
      <w:pPr>
        <w:pStyle w:val="ListBullet"/>
        <w:spacing w:after="40"/>
      </w:pPr>
      <w:r>
        <w:t>完整 DOI、ORCID、ROR、专利公开号和申请号的精确查询正确率需要达到 100%。</w:t>
      </w:r>
    </w:p>
    <w:p>
      <w:pPr>
        <w:pStyle w:val="ListBullet"/>
        <w:spacing w:after="40"/>
      </w:pPr>
      <w:r>
        <w:t>检索结果需要包含来源信息和字段缺失提示。</w:t>
      </w:r>
    </w:p>
    <w:p>
      <w:pPr>
        <w:pStyle w:val="ListBullet"/>
        <w:spacing w:after="40"/>
      </w:pPr>
      <w:r>
        <w:t>一万条成果数据规模下，普通关键词查询响应时间需要控制在 2 秒以内。</w:t>
      </w:r>
    </w:p>
    <w:p>
      <w:pPr>
        <w:pStyle w:val="Heading1"/>
      </w:pPr>
      <w:r>
        <w:t>7. SPEC-QUALITY-01 数据质量与人工复核规范</w:t>
      </w:r>
    </w:p>
    <w:p>
      <w:pPr>
        <w:pStyle w:val="Heading2"/>
      </w:pPr>
      <w:r>
        <w:t>7.1 功能目标</w:t>
      </w:r>
    </w:p>
    <w:p>
      <w:r>
        <w:t>数据质量模块负责汇总字段完整率、来源可追踪率、重复候选数量、作者消歧候选数量、异常记录数量和复核任务处理情况。人工复核模块负责处理算法无法自动确定的候选关系和冲突字段。</w:t>
      </w:r>
    </w:p>
    <w:p>
      <w:pPr>
        <w:pStyle w:val="Heading2"/>
      </w:pPr>
      <w:r>
        <w:t>7.2 数据质量指标</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AF7"/>
            <w:vAlign w:val="center"/>
          </w:tcPr>
          <w:p>
            <w:pPr>
              <w:jc w:val="center"/>
            </w:pPr>
            <w:r>
              <w:rPr>
                <w:rFonts w:ascii="宋体" w:hAnsi="宋体" w:eastAsia="宋体"/>
                <w:b/>
                <w:sz w:val="17"/>
              </w:rPr>
              <w:t>指标</w:t>
            </w:r>
          </w:p>
        </w:tc>
        <w:tc>
          <w:tcPr>
            <w:tcW w:type="dxa" w:w="3135"/>
            <w:shd w:fill="D9EAF7"/>
            <w:vAlign w:val="center"/>
          </w:tcPr>
          <w:p>
            <w:pPr>
              <w:jc w:val="center"/>
            </w:pPr>
            <w:r>
              <w:rPr>
                <w:rFonts w:ascii="宋体" w:hAnsi="宋体" w:eastAsia="宋体"/>
                <w:b/>
                <w:sz w:val="17"/>
              </w:rPr>
              <w:t>定义</w:t>
            </w:r>
          </w:p>
        </w:tc>
        <w:tc>
          <w:tcPr>
            <w:tcW w:type="dxa" w:w="3135"/>
            <w:shd w:fill="D9EAF7"/>
            <w:vAlign w:val="center"/>
          </w:tcPr>
          <w:p>
            <w:pPr>
              <w:jc w:val="center"/>
            </w:pPr>
            <w:r>
              <w:rPr>
                <w:rFonts w:ascii="宋体" w:hAnsi="宋体" w:eastAsia="宋体"/>
                <w:b/>
                <w:sz w:val="17"/>
              </w:rPr>
              <w:t>一期目标</w:t>
            </w:r>
          </w:p>
        </w:tc>
      </w:tr>
      <w:tr>
        <w:trPr>
          <w:cantSplit/>
        </w:trPr>
        <w:tc>
          <w:tcPr>
            <w:tcW w:type="dxa" w:w="3135"/>
            <w:vAlign w:val="center"/>
          </w:tcPr>
          <w:p>
            <w:pPr>
              <w:spacing w:after="0"/>
            </w:pPr>
            <w:r>
              <w:rPr>
                <w:rFonts w:ascii="宋体" w:hAnsi="宋体" w:eastAsia="宋体"/>
                <w:sz w:val="17"/>
              </w:rPr>
              <w:t>核心字段完整率</w:t>
            </w:r>
          </w:p>
        </w:tc>
        <w:tc>
          <w:tcPr>
            <w:tcW w:type="dxa" w:w="3135"/>
            <w:vAlign w:val="center"/>
          </w:tcPr>
          <w:p>
            <w:pPr>
              <w:spacing w:after="0"/>
            </w:pPr>
            <w:r>
              <w:rPr>
                <w:rFonts w:ascii="宋体" w:hAnsi="宋体" w:eastAsia="宋体"/>
                <w:sz w:val="17"/>
              </w:rPr>
              <w:t>题名、作者、年份、来源等核心字段完整记录占比。</w:t>
            </w:r>
          </w:p>
        </w:tc>
        <w:tc>
          <w:tcPr>
            <w:tcW w:type="dxa" w:w="3135"/>
            <w:vAlign w:val="center"/>
          </w:tcPr>
          <w:p>
            <w:pPr>
              <w:spacing w:after="0"/>
            </w:pPr>
            <w:r>
              <w:rPr>
                <w:rFonts w:ascii="宋体" w:hAnsi="宋体" w:eastAsia="宋体"/>
                <w:sz w:val="17"/>
              </w:rPr>
              <w:t>95% 以上。</w:t>
            </w:r>
          </w:p>
        </w:tc>
      </w:tr>
      <w:tr>
        <w:trPr>
          <w:cantSplit/>
        </w:trPr>
        <w:tc>
          <w:tcPr>
            <w:tcW w:type="dxa" w:w="3135"/>
            <w:vAlign w:val="center"/>
          </w:tcPr>
          <w:p>
            <w:pPr>
              <w:spacing w:after="0"/>
            </w:pPr>
            <w:r>
              <w:rPr>
                <w:rFonts w:ascii="宋体" w:hAnsi="宋体" w:eastAsia="宋体"/>
                <w:sz w:val="17"/>
              </w:rPr>
              <w:t>来源可追踪率</w:t>
            </w:r>
          </w:p>
        </w:tc>
        <w:tc>
          <w:tcPr>
            <w:tcW w:type="dxa" w:w="3135"/>
            <w:vAlign w:val="center"/>
          </w:tcPr>
          <w:p>
            <w:pPr>
              <w:spacing w:after="0"/>
            </w:pPr>
            <w:r>
              <w:rPr>
                <w:rFonts w:ascii="宋体" w:hAnsi="宋体" w:eastAsia="宋体"/>
                <w:sz w:val="17"/>
              </w:rPr>
              <w:t>统一成果记录能够定位到至少一个来源记录的占比。</w:t>
            </w:r>
          </w:p>
        </w:tc>
        <w:tc>
          <w:tcPr>
            <w:tcW w:type="dxa" w:w="3135"/>
            <w:vAlign w:val="center"/>
          </w:tcPr>
          <w:p>
            <w:pPr>
              <w:spacing w:after="0"/>
            </w:pPr>
            <w:r>
              <w:rPr>
                <w:rFonts w:ascii="宋体" w:hAnsi="宋体" w:eastAsia="宋体"/>
                <w:sz w:val="17"/>
              </w:rPr>
              <w:t>100%。</w:t>
            </w:r>
          </w:p>
        </w:tc>
      </w:tr>
      <w:tr>
        <w:trPr>
          <w:cantSplit/>
        </w:trPr>
        <w:tc>
          <w:tcPr>
            <w:tcW w:type="dxa" w:w="3135"/>
            <w:vAlign w:val="center"/>
          </w:tcPr>
          <w:p>
            <w:pPr>
              <w:spacing w:after="0"/>
            </w:pPr>
            <w:r>
              <w:rPr>
                <w:rFonts w:ascii="宋体" w:hAnsi="宋体" w:eastAsia="宋体"/>
                <w:sz w:val="17"/>
              </w:rPr>
              <w:t>自动去重准确率</w:t>
            </w:r>
          </w:p>
        </w:tc>
        <w:tc>
          <w:tcPr>
            <w:tcW w:type="dxa" w:w="3135"/>
            <w:vAlign w:val="center"/>
          </w:tcPr>
          <w:p>
            <w:pPr>
              <w:spacing w:after="0"/>
            </w:pPr>
            <w:r>
              <w:rPr>
                <w:rFonts w:ascii="宋体" w:hAnsi="宋体" w:eastAsia="宋体"/>
                <w:sz w:val="17"/>
              </w:rPr>
              <w:t>抽样复核中自动合并判定正确的比例。</w:t>
            </w:r>
          </w:p>
        </w:tc>
        <w:tc>
          <w:tcPr>
            <w:tcW w:type="dxa" w:w="3135"/>
            <w:vAlign w:val="center"/>
          </w:tcPr>
          <w:p>
            <w:pPr>
              <w:spacing w:after="0"/>
            </w:pPr>
            <w:r>
              <w:rPr>
                <w:rFonts w:ascii="宋体" w:hAnsi="宋体" w:eastAsia="宋体"/>
                <w:sz w:val="17"/>
              </w:rPr>
              <w:t>98% 以上。</w:t>
            </w:r>
          </w:p>
        </w:tc>
      </w:tr>
      <w:tr>
        <w:trPr>
          <w:cantSplit/>
        </w:trPr>
        <w:tc>
          <w:tcPr>
            <w:tcW w:type="dxa" w:w="3135"/>
            <w:vAlign w:val="center"/>
          </w:tcPr>
          <w:p>
            <w:pPr>
              <w:spacing w:after="0"/>
            </w:pPr>
            <w:r>
              <w:rPr>
                <w:rFonts w:ascii="宋体" w:hAnsi="宋体" w:eastAsia="宋体"/>
                <w:sz w:val="17"/>
              </w:rPr>
              <w:t>作者自动消歧准确率</w:t>
            </w:r>
          </w:p>
        </w:tc>
        <w:tc>
          <w:tcPr>
            <w:tcW w:type="dxa" w:w="3135"/>
            <w:vAlign w:val="center"/>
          </w:tcPr>
          <w:p>
            <w:pPr>
              <w:spacing w:after="0"/>
            </w:pPr>
            <w:r>
              <w:rPr>
                <w:rFonts w:ascii="宋体" w:hAnsi="宋体" w:eastAsia="宋体"/>
                <w:sz w:val="17"/>
              </w:rPr>
              <w:t>抽样复核中自动作者合并正确的比例。</w:t>
            </w:r>
          </w:p>
        </w:tc>
        <w:tc>
          <w:tcPr>
            <w:tcW w:type="dxa" w:w="3135"/>
            <w:vAlign w:val="center"/>
          </w:tcPr>
          <w:p>
            <w:pPr>
              <w:spacing w:after="0"/>
            </w:pPr>
            <w:r>
              <w:rPr>
                <w:rFonts w:ascii="宋体" w:hAnsi="宋体" w:eastAsia="宋体"/>
                <w:sz w:val="17"/>
              </w:rPr>
              <w:t>97% 以上。</w:t>
            </w:r>
          </w:p>
        </w:tc>
      </w:tr>
      <w:tr>
        <w:trPr>
          <w:cantSplit/>
        </w:trPr>
        <w:tc>
          <w:tcPr>
            <w:tcW w:type="dxa" w:w="3135"/>
            <w:vAlign w:val="center"/>
          </w:tcPr>
          <w:p>
            <w:pPr>
              <w:spacing w:after="0"/>
            </w:pPr>
            <w:r>
              <w:rPr>
                <w:rFonts w:ascii="宋体" w:hAnsi="宋体" w:eastAsia="宋体"/>
                <w:sz w:val="17"/>
              </w:rPr>
              <w:t>异常处理率</w:t>
            </w:r>
          </w:p>
        </w:tc>
        <w:tc>
          <w:tcPr>
            <w:tcW w:type="dxa" w:w="3135"/>
            <w:vAlign w:val="center"/>
          </w:tcPr>
          <w:p>
            <w:pPr>
              <w:spacing w:after="0"/>
            </w:pPr>
            <w:r>
              <w:rPr>
                <w:rFonts w:ascii="宋体" w:hAnsi="宋体" w:eastAsia="宋体"/>
                <w:sz w:val="17"/>
              </w:rPr>
              <w:t>进入异常队列以后获得明确处理状态的记录占比。</w:t>
            </w:r>
          </w:p>
        </w:tc>
        <w:tc>
          <w:tcPr>
            <w:tcW w:type="dxa" w:w="3135"/>
            <w:vAlign w:val="center"/>
          </w:tcPr>
          <w:p>
            <w:pPr>
              <w:spacing w:after="0"/>
            </w:pPr>
            <w:r>
              <w:rPr>
                <w:rFonts w:ascii="宋体" w:hAnsi="宋体" w:eastAsia="宋体"/>
                <w:sz w:val="17"/>
              </w:rPr>
              <w:t>95% 以上。</w:t>
            </w:r>
          </w:p>
        </w:tc>
      </w:tr>
    </w:tbl>
    <w:p/>
    <w:p>
      <w:pPr>
        <w:pStyle w:val="Heading2"/>
      </w:pPr>
      <w:r>
        <w:t>7.3 人工复核任务</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AF7"/>
            <w:vAlign w:val="center"/>
          </w:tcPr>
          <w:p>
            <w:pPr>
              <w:jc w:val="center"/>
            </w:pPr>
            <w:r>
              <w:rPr>
                <w:rFonts w:ascii="宋体" w:hAnsi="宋体" w:eastAsia="宋体"/>
                <w:b/>
                <w:sz w:val="17"/>
              </w:rPr>
              <w:t>复核类型</w:t>
            </w:r>
          </w:p>
        </w:tc>
        <w:tc>
          <w:tcPr>
            <w:tcW w:type="dxa" w:w="3135"/>
            <w:shd w:fill="D9EAF7"/>
            <w:vAlign w:val="center"/>
          </w:tcPr>
          <w:p>
            <w:pPr>
              <w:jc w:val="center"/>
            </w:pPr>
            <w:r>
              <w:rPr>
                <w:rFonts w:ascii="宋体" w:hAnsi="宋体" w:eastAsia="宋体"/>
                <w:b/>
                <w:sz w:val="17"/>
              </w:rPr>
              <w:t>触发条件</w:t>
            </w:r>
          </w:p>
        </w:tc>
        <w:tc>
          <w:tcPr>
            <w:tcW w:type="dxa" w:w="3135"/>
            <w:shd w:fill="D9EAF7"/>
            <w:vAlign w:val="center"/>
          </w:tcPr>
          <w:p>
            <w:pPr>
              <w:jc w:val="center"/>
            </w:pPr>
            <w:r>
              <w:rPr>
                <w:rFonts w:ascii="宋体" w:hAnsi="宋体" w:eastAsia="宋体"/>
                <w:b/>
                <w:sz w:val="17"/>
              </w:rPr>
              <w:t>处理结论</w:t>
            </w:r>
          </w:p>
        </w:tc>
      </w:tr>
      <w:tr>
        <w:trPr>
          <w:cantSplit/>
        </w:trPr>
        <w:tc>
          <w:tcPr>
            <w:tcW w:type="dxa" w:w="3135"/>
            <w:vAlign w:val="center"/>
          </w:tcPr>
          <w:p>
            <w:pPr>
              <w:spacing w:after="0"/>
            </w:pPr>
            <w:r>
              <w:rPr>
                <w:rFonts w:ascii="宋体" w:hAnsi="宋体" w:eastAsia="宋体"/>
                <w:sz w:val="17"/>
              </w:rPr>
              <w:t>论文重复复核</w:t>
            </w:r>
          </w:p>
        </w:tc>
        <w:tc>
          <w:tcPr>
            <w:tcW w:type="dxa" w:w="3135"/>
            <w:vAlign w:val="center"/>
          </w:tcPr>
          <w:p>
            <w:pPr>
              <w:spacing w:after="0"/>
            </w:pPr>
            <w:r>
              <w:rPr>
                <w:rFonts w:ascii="宋体" w:hAnsi="宋体" w:eastAsia="宋体"/>
                <w:sz w:val="17"/>
              </w:rPr>
              <w:t>0.82 ≤ S_paper &lt; 0.92。</w:t>
            </w:r>
          </w:p>
        </w:tc>
        <w:tc>
          <w:tcPr>
            <w:tcW w:type="dxa" w:w="3135"/>
            <w:vAlign w:val="center"/>
          </w:tcPr>
          <w:p>
            <w:pPr>
              <w:spacing w:after="0"/>
            </w:pPr>
            <w:r>
              <w:rPr>
                <w:rFonts w:ascii="宋体" w:hAnsi="宋体" w:eastAsia="宋体"/>
                <w:sz w:val="17"/>
              </w:rPr>
              <w:t>合并、保持独立、建立版本关系。</w:t>
            </w:r>
          </w:p>
        </w:tc>
      </w:tr>
      <w:tr>
        <w:trPr>
          <w:cantSplit/>
        </w:trPr>
        <w:tc>
          <w:tcPr>
            <w:tcW w:type="dxa" w:w="3135"/>
            <w:vAlign w:val="center"/>
          </w:tcPr>
          <w:p>
            <w:pPr>
              <w:spacing w:after="0"/>
            </w:pPr>
            <w:r>
              <w:rPr>
                <w:rFonts w:ascii="宋体" w:hAnsi="宋体" w:eastAsia="宋体"/>
                <w:sz w:val="17"/>
              </w:rPr>
              <w:t>作者消歧复核</w:t>
            </w:r>
          </w:p>
        </w:tc>
        <w:tc>
          <w:tcPr>
            <w:tcW w:type="dxa" w:w="3135"/>
            <w:vAlign w:val="center"/>
          </w:tcPr>
          <w:p>
            <w:pPr>
              <w:spacing w:after="0"/>
            </w:pPr>
            <w:r>
              <w:rPr>
                <w:rFonts w:ascii="宋体" w:hAnsi="宋体" w:eastAsia="宋体"/>
                <w:sz w:val="17"/>
              </w:rPr>
              <w:t>0.85 ≤ S_author &lt; 0.95。</w:t>
            </w:r>
          </w:p>
        </w:tc>
        <w:tc>
          <w:tcPr>
            <w:tcW w:type="dxa" w:w="3135"/>
            <w:vAlign w:val="center"/>
          </w:tcPr>
          <w:p>
            <w:pPr>
              <w:spacing w:after="0"/>
            </w:pPr>
            <w:r>
              <w:rPr>
                <w:rFonts w:ascii="宋体" w:hAnsi="宋体" w:eastAsia="宋体"/>
                <w:sz w:val="17"/>
              </w:rPr>
              <w:t>合并、保持独立、等待更多证据。</w:t>
            </w:r>
          </w:p>
        </w:tc>
      </w:tr>
      <w:tr>
        <w:trPr>
          <w:cantSplit/>
        </w:trPr>
        <w:tc>
          <w:tcPr>
            <w:tcW w:type="dxa" w:w="3135"/>
            <w:vAlign w:val="center"/>
          </w:tcPr>
          <w:p>
            <w:pPr>
              <w:spacing w:after="0"/>
            </w:pPr>
            <w:r>
              <w:rPr>
                <w:rFonts w:ascii="宋体" w:hAnsi="宋体" w:eastAsia="宋体"/>
                <w:sz w:val="17"/>
              </w:rPr>
              <w:t>奖励重复复核</w:t>
            </w:r>
          </w:p>
        </w:tc>
        <w:tc>
          <w:tcPr>
            <w:tcW w:type="dxa" w:w="3135"/>
            <w:vAlign w:val="center"/>
          </w:tcPr>
          <w:p>
            <w:pPr>
              <w:spacing w:after="0"/>
            </w:pPr>
            <w:r>
              <w:rPr>
                <w:rFonts w:ascii="宋体" w:hAnsi="宋体" w:eastAsia="宋体"/>
                <w:sz w:val="17"/>
              </w:rPr>
              <w:t>0.84 ≤ S_award &lt; 0.93。</w:t>
            </w:r>
          </w:p>
        </w:tc>
        <w:tc>
          <w:tcPr>
            <w:tcW w:type="dxa" w:w="3135"/>
            <w:vAlign w:val="center"/>
          </w:tcPr>
          <w:p>
            <w:pPr>
              <w:spacing w:after="0"/>
            </w:pPr>
            <w:r>
              <w:rPr>
                <w:rFonts w:ascii="宋体" w:hAnsi="宋体" w:eastAsia="宋体"/>
                <w:sz w:val="17"/>
              </w:rPr>
              <w:t>合并、保持独立。</w:t>
            </w:r>
          </w:p>
        </w:tc>
      </w:tr>
      <w:tr>
        <w:trPr>
          <w:cantSplit/>
        </w:trPr>
        <w:tc>
          <w:tcPr>
            <w:tcW w:type="dxa" w:w="3135"/>
            <w:vAlign w:val="center"/>
          </w:tcPr>
          <w:p>
            <w:pPr>
              <w:spacing w:after="0"/>
            </w:pPr>
            <w:r>
              <w:rPr>
                <w:rFonts w:ascii="宋体" w:hAnsi="宋体" w:eastAsia="宋体"/>
                <w:sz w:val="17"/>
              </w:rPr>
              <w:t>关键字段冲突</w:t>
            </w:r>
          </w:p>
        </w:tc>
        <w:tc>
          <w:tcPr>
            <w:tcW w:type="dxa" w:w="3135"/>
            <w:vAlign w:val="center"/>
          </w:tcPr>
          <w:p>
            <w:pPr>
              <w:spacing w:after="0"/>
            </w:pPr>
            <w:r>
              <w:rPr>
                <w:rFonts w:ascii="宋体" w:hAnsi="宋体" w:eastAsia="宋体"/>
                <w:sz w:val="17"/>
              </w:rPr>
              <w:t>高可信来源之间出现 DOI、作者列表、年份或者奖励等级冲突。</w:t>
            </w:r>
          </w:p>
        </w:tc>
        <w:tc>
          <w:tcPr>
            <w:tcW w:type="dxa" w:w="3135"/>
            <w:vAlign w:val="center"/>
          </w:tcPr>
          <w:p>
            <w:pPr>
              <w:spacing w:after="0"/>
            </w:pPr>
            <w:r>
              <w:rPr>
                <w:rFonts w:ascii="宋体" w:hAnsi="宋体" w:eastAsia="宋体"/>
                <w:sz w:val="17"/>
              </w:rPr>
              <w:t>指定主值并记录审核说明。</w:t>
            </w:r>
          </w:p>
        </w:tc>
      </w:tr>
      <w:tr>
        <w:trPr>
          <w:cantSplit/>
        </w:trPr>
        <w:tc>
          <w:tcPr>
            <w:tcW w:type="dxa" w:w="3135"/>
            <w:vAlign w:val="center"/>
          </w:tcPr>
          <w:p>
            <w:pPr>
              <w:spacing w:after="0"/>
            </w:pPr>
            <w:r>
              <w:rPr>
                <w:rFonts w:ascii="宋体" w:hAnsi="宋体" w:eastAsia="宋体"/>
                <w:sz w:val="17"/>
              </w:rPr>
              <w:t>门户认领纠错</w:t>
            </w:r>
          </w:p>
        </w:tc>
        <w:tc>
          <w:tcPr>
            <w:tcW w:type="dxa" w:w="3135"/>
            <w:vAlign w:val="center"/>
          </w:tcPr>
          <w:p>
            <w:pPr>
              <w:spacing w:after="0"/>
            </w:pPr>
            <w:r>
              <w:rPr>
                <w:rFonts w:ascii="宋体" w:hAnsi="宋体" w:eastAsia="宋体"/>
                <w:sz w:val="17"/>
              </w:rPr>
              <w:t>认证科研人员提交成果归属纠错申请。</w:t>
            </w:r>
          </w:p>
        </w:tc>
        <w:tc>
          <w:tcPr>
            <w:tcW w:type="dxa" w:w="3135"/>
            <w:vAlign w:val="center"/>
          </w:tcPr>
          <w:p>
            <w:pPr>
              <w:spacing w:after="0"/>
            </w:pPr>
            <w:r>
              <w:rPr>
                <w:rFonts w:ascii="宋体" w:hAnsi="宋体" w:eastAsia="宋体"/>
                <w:sz w:val="17"/>
              </w:rPr>
              <w:t>修正实体关系或者驳回申请。</w:t>
            </w:r>
          </w:p>
        </w:tc>
      </w:tr>
    </w:tbl>
    <w:p/>
    <w:p>
      <w:pPr>
        <w:pStyle w:val="Heading2"/>
      </w:pPr>
      <w:r>
        <w:t>7.4 审计要求</w:t>
      </w:r>
    </w:p>
    <w:p>
      <w:pPr>
        <w:pStyle w:val="ListBullet"/>
        <w:spacing w:after="40"/>
      </w:pPr>
      <w:r>
        <w:t>每一次人工复核需要保存复核人、复核时间、候选实体、处理结论和处理说明。</w:t>
      </w:r>
    </w:p>
    <w:p>
      <w:pPr>
        <w:pStyle w:val="ListBullet"/>
        <w:spacing w:after="40"/>
      </w:pPr>
      <w:r>
        <w:t>每一次自动合并需要保存算法版本、评分明细、来源证据和合并前后的实体编号。</w:t>
      </w:r>
    </w:p>
    <w:p>
      <w:pPr>
        <w:pStyle w:val="ListBullet"/>
        <w:spacing w:after="40"/>
      </w:pPr>
      <w:r>
        <w:t>管理员修改主字段值时需要保存修改前值、修改后值和字段来源。</w:t>
      </w:r>
    </w:p>
    <w:p>
      <w:pPr>
        <w:pStyle w:val="ListBullet"/>
        <w:spacing w:after="40"/>
      </w:pPr>
      <w:r>
        <w:t>门户认领和成果纠错需要保留完整审核记录。</w:t>
      </w:r>
    </w:p>
    <w:p>
      <w:pPr>
        <w:pStyle w:val="Heading1"/>
      </w:pPr>
      <w:r>
        <w:t>8. 规范与代码对应关系要求</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AF7"/>
            <w:vAlign w:val="center"/>
          </w:tcPr>
          <w:p>
            <w:pPr>
              <w:jc w:val="center"/>
            </w:pPr>
            <w:r>
              <w:rPr>
                <w:rFonts w:ascii="宋体" w:hAnsi="宋体" w:eastAsia="宋体"/>
                <w:b/>
                <w:sz w:val="17"/>
              </w:rPr>
              <w:t>规范编号</w:t>
            </w:r>
          </w:p>
        </w:tc>
        <w:tc>
          <w:tcPr>
            <w:tcW w:type="dxa" w:w="3135"/>
            <w:shd w:fill="D9EAF7"/>
            <w:vAlign w:val="center"/>
          </w:tcPr>
          <w:p>
            <w:pPr>
              <w:jc w:val="center"/>
            </w:pPr>
            <w:r>
              <w:rPr>
                <w:rFonts w:ascii="宋体" w:hAnsi="宋体" w:eastAsia="宋体"/>
                <w:b/>
                <w:sz w:val="17"/>
              </w:rPr>
              <w:t>建议代码目录</w:t>
            </w:r>
          </w:p>
        </w:tc>
        <w:tc>
          <w:tcPr>
            <w:tcW w:type="dxa" w:w="3135"/>
            <w:shd w:fill="D9EAF7"/>
            <w:vAlign w:val="center"/>
          </w:tcPr>
          <w:p>
            <w:pPr>
              <w:jc w:val="center"/>
            </w:pPr>
            <w:r>
              <w:rPr>
                <w:rFonts w:ascii="宋体" w:hAnsi="宋体" w:eastAsia="宋体"/>
                <w:b/>
                <w:sz w:val="17"/>
              </w:rPr>
              <w:t>必须包含的测试</w:t>
            </w:r>
          </w:p>
        </w:tc>
      </w:tr>
      <w:tr>
        <w:trPr>
          <w:cantSplit/>
        </w:trPr>
        <w:tc>
          <w:tcPr>
            <w:tcW w:type="dxa" w:w="3135"/>
            <w:vAlign w:val="center"/>
          </w:tcPr>
          <w:p>
            <w:pPr>
              <w:spacing w:after="0"/>
            </w:pPr>
            <w:r>
              <w:rPr>
                <w:rFonts w:ascii="宋体" w:hAnsi="宋体" w:eastAsia="宋体"/>
                <w:sz w:val="17"/>
              </w:rPr>
              <w:t>SPEC-INGEST-01</w:t>
            </w:r>
          </w:p>
        </w:tc>
        <w:tc>
          <w:tcPr>
            <w:tcW w:type="dxa" w:w="3135"/>
            <w:vAlign w:val="center"/>
          </w:tcPr>
          <w:p>
            <w:pPr>
              <w:spacing w:after="0"/>
            </w:pPr>
            <w:r>
              <w:rPr>
                <w:rFonts w:ascii="宋体" w:hAnsi="宋体" w:eastAsia="宋体"/>
                <w:sz w:val="17"/>
              </w:rPr>
              <w:t>services/ingest、jobs/harvest</w:t>
            </w:r>
          </w:p>
        </w:tc>
        <w:tc>
          <w:tcPr>
            <w:tcW w:type="dxa" w:w="3135"/>
            <w:vAlign w:val="center"/>
          </w:tcPr>
          <w:p>
            <w:pPr>
              <w:spacing w:after="0"/>
            </w:pPr>
            <w:r>
              <w:rPr>
                <w:rFonts w:ascii="宋体" w:hAnsi="宋体" w:eastAsia="宋体"/>
                <w:sz w:val="17"/>
              </w:rPr>
              <w:t>采集任务状态转换测试、失败重试测试、来源记录保存测试。</w:t>
            </w:r>
          </w:p>
        </w:tc>
      </w:tr>
      <w:tr>
        <w:trPr>
          <w:cantSplit/>
        </w:trPr>
        <w:tc>
          <w:tcPr>
            <w:tcW w:type="dxa" w:w="3135"/>
            <w:vAlign w:val="center"/>
          </w:tcPr>
          <w:p>
            <w:pPr>
              <w:spacing w:after="0"/>
            </w:pPr>
            <w:r>
              <w:rPr>
                <w:rFonts w:ascii="宋体" w:hAnsi="宋体" w:eastAsia="宋体"/>
                <w:sz w:val="17"/>
              </w:rPr>
              <w:t>SPEC-DATA-01</w:t>
            </w:r>
          </w:p>
        </w:tc>
        <w:tc>
          <w:tcPr>
            <w:tcW w:type="dxa" w:w="3135"/>
            <w:vAlign w:val="center"/>
          </w:tcPr>
          <w:p>
            <w:pPr>
              <w:spacing w:after="0"/>
            </w:pPr>
            <w:r>
              <w:rPr>
                <w:rFonts w:ascii="宋体" w:hAnsi="宋体" w:eastAsia="宋体"/>
                <w:sz w:val="17"/>
              </w:rPr>
              <w:t>services/etl/cleaning</w:t>
            </w:r>
          </w:p>
        </w:tc>
        <w:tc>
          <w:tcPr>
            <w:tcW w:type="dxa" w:w="3135"/>
            <w:vAlign w:val="center"/>
          </w:tcPr>
          <w:p>
            <w:pPr>
              <w:spacing w:after="0"/>
            </w:pPr>
            <w:r>
              <w:rPr>
                <w:rFonts w:ascii="宋体" w:hAnsi="宋体" w:eastAsia="宋体"/>
                <w:sz w:val="17"/>
              </w:rPr>
              <w:t>标识符清洗测试、文本清洗测试、受控词表映射测试。</w:t>
            </w:r>
          </w:p>
        </w:tc>
      </w:tr>
      <w:tr>
        <w:trPr>
          <w:cantSplit/>
        </w:trPr>
        <w:tc>
          <w:tcPr>
            <w:tcW w:type="dxa" w:w="3135"/>
            <w:vAlign w:val="center"/>
          </w:tcPr>
          <w:p>
            <w:pPr>
              <w:spacing w:after="0"/>
            </w:pPr>
            <w:r>
              <w:rPr>
                <w:rFonts w:ascii="宋体" w:hAnsi="宋体" w:eastAsia="宋体"/>
                <w:sz w:val="17"/>
              </w:rPr>
              <w:t>SPEC-DATA-02</w:t>
            </w:r>
          </w:p>
        </w:tc>
        <w:tc>
          <w:tcPr>
            <w:tcW w:type="dxa" w:w="3135"/>
            <w:vAlign w:val="center"/>
          </w:tcPr>
          <w:p>
            <w:pPr>
              <w:spacing w:after="0"/>
            </w:pPr>
            <w:r>
              <w:rPr>
                <w:rFonts w:ascii="宋体" w:hAnsi="宋体" w:eastAsia="宋体"/>
                <w:sz w:val="17"/>
              </w:rPr>
              <w:t>services/etl/deduplication</w:t>
            </w:r>
          </w:p>
        </w:tc>
        <w:tc>
          <w:tcPr>
            <w:tcW w:type="dxa" w:w="3135"/>
            <w:vAlign w:val="center"/>
          </w:tcPr>
          <w:p>
            <w:pPr>
              <w:spacing w:after="0"/>
            </w:pPr>
            <w:r>
              <w:rPr>
                <w:rFonts w:ascii="宋体" w:hAnsi="宋体" w:eastAsia="宋体"/>
                <w:sz w:val="17"/>
              </w:rPr>
              <w:t>论文去重测试、专利去重测试、奖励去重测试。</w:t>
            </w:r>
          </w:p>
        </w:tc>
      </w:tr>
      <w:tr>
        <w:trPr>
          <w:cantSplit/>
        </w:trPr>
        <w:tc>
          <w:tcPr>
            <w:tcW w:type="dxa" w:w="3135"/>
            <w:vAlign w:val="center"/>
          </w:tcPr>
          <w:p>
            <w:pPr>
              <w:spacing w:after="0"/>
            </w:pPr>
            <w:r>
              <w:rPr>
                <w:rFonts w:ascii="宋体" w:hAnsi="宋体" w:eastAsia="宋体"/>
                <w:sz w:val="17"/>
              </w:rPr>
              <w:t>SPEC-DATA-03</w:t>
            </w:r>
          </w:p>
        </w:tc>
        <w:tc>
          <w:tcPr>
            <w:tcW w:type="dxa" w:w="3135"/>
            <w:vAlign w:val="center"/>
          </w:tcPr>
          <w:p>
            <w:pPr>
              <w:spacing w:after="0"/>
            </w:pPr>
            <w:r>
              <w:rPr>
                <w:rFonts w:ascii="宋体" w:hAnsi="宋体" w:eastAsia="宋体"/>
                <w:sz w:val="17"/>
              </w:rPr>
              <w:t>services/etl/disambiguation</w:t>
            </w:r>
          </w:p>
        </w:tc>
        <w:tc>
          <w:tcPr>
            <w:tcW w:type="dxa" w:w="3135"/>
            <w:vAlign w:val="center"/>
          </w:tcPr>
          <w:p>
            <w:pPr>
              <w:spacing w:after="0"/>
            </w:pPr>
            <w:r>
              <w:rPr>
                <w:rFonts w:ascii="宋体" w:hAnsi="宋体" w:eastAsia="宋体"/>
                <w:sz w:val="17"/>
              </w:rPr>
              <w:t>作者消歧测试、机构消歧测试、人工复核触发测试。</w:t>
            </w:r>
          </w:p>
        </w:tc>
      </w:tr>
      <w:tr>
        <w:trPr>
          <w:cantSplit/>
        </w:trPr>
        <w:tc>
          <w:tcPr>
            <w:tcW w:type="dxa" w:w="3135"/>
            <w:vAlign w:val="center"/>
          </w:tcPr>
          <w:p>
            <w:pPr>
              <w:spacing w:after="0"/>
            </w:pPr>
            <w:r>
              <w:rPr>
                <w:rFonts w:ascii="宋体" w:hAnsi="宋体" w:eastAsia="宋体"/>
                <w:sz w:val="17"/>
              </w:rPr>
              <w:t>SPEC-SEARCH-01</w:t>
            </w:r>
          </w:p>
        </w:tc>
        <w:tc>
          <w:tcPr>
            <w:tcW w:type="dxa" w:w="3135"/>
            <w:vAlign w:val="center"/>
          </w:tcPr>
          <w:p>
            <w:pPr>
              <w:spacing w:after="0"/>
            </w:pPr>
            <w:r>
              <w:rPr>
                <w:rFonts w:ascii="宋体" w:hAnsi="宋体" w:eastAsia="宋体"/>
                <w:sz w:val="17"/>
              </w:rPr>
              <w:t>services/search</w:t>
            </w:r>
          </w:p>
        </w:tc>
        <w:tc>
          <w:tcPr>
            <w:tcW w:type="dxa" w:w="3135"/>
            <w:vAlign w:val="center"/>
          </w:tcPr>
          <w:p>
            <w:pPr>
              <w:spacing w:after="0"/>
            </w:pPr>
            <w:r>
              <w:rPr>
                <w:rFonts w:ascii="宋体" w:hAnsi="宋体" w:eastAsia="宋体"/>
                <w:sz w:val="17"/>
              </w:rPr>
              <w:t>精确标识检索测试、字段权重排序测试、筛选分页测试。</w:t>
            </w:r>
          </w:p>
        </w:tc>
      </w:tr>
      <w:tr>
        <w:trPr>
          <w:cantSplit/>
        </w:trPr>
        <w:tc>
          <w:tcPr>
            <w:tcW w:type="dxa" w:w="3135"/>
            <w:vAlign w:val="center"/>
          </w:tcPr>
          <w:p>
            <w:pPr>
              <w:spacing w:after="0"/>
            </w:pPr>
            <w:r>
              <w:rPr>
                <w:rFonts w:ascii="宋体" w:hAnsi="宋体" w:eastAsia="宋体"/>
                <w:sz w:val="17"/>
              </w:rPr>
              <w:t>SPEC-QUALITY-01</w:t>
            </w:r>
          </w:p>
        </w:tc>
        <w:tc>
          <w:tcPr>
            <w:tcW w:type="dxa" w:w="3135"/>
            <w:vAlign w:val="center"/>
          </w:tcPr>
          <w:p>
            <w:pPr>
              <w:spacing w:after="0"/>
            </w:pPr>
            <w:r>
              <w:rPr>
                <w:rFonts w:ascii="宋体" w:hAnsi="宋体" w:eastAsia="宋体"/>
                <w:sz w:val="17"/>
              </w:rPr>
              <w:t>services/admin/quality</w:t>
            </w:r>
          </w:p>
        </w:tc>
        <w:tc>
          <w:tcPr>
            <w:tcW w:type="dxa" w:w="3135"/>
            <w:vAlign w:val="center"/>
          </w:tcPr>
          <w:p>
            <w:pPr>
              <w:spacing w:after="0"/>
            </w:pPr>
            <w:r>
              <w:rPr>
                <w:rFonts w:ascii="宋体" w:hAnsi="宋体" w:eastAsia="宋体"/>
                <w:sz w:val="17"/>
              </w:rPr>
              <w:t>质量指标计算测试、复核任务流转测试、审计记录测试。</w:t>
            </w:r>
          </w:p>
        </w:tc>
      </w:tr>
    </w:tbl>
    <w:p/>
    <w:p>
      <w:pPr>
        <w:pStyle w:val="Heading1"/>
      </w:pPr>
      <w:r>
        <w:t>9. 参考资料</w:t>
      </w:r>
    </w:p>
    <w:p>
      <w:pPr>
        <w:pStyle w:val="ListNumber"/>
        <w:spacing w:after="40"/>
      </w:pPr>
      <w:r>
        <w:t>《软件系统分析与设计》课程实践（一）：《学术成果分享平台》任务书。</w:t>
      </w:r>
    </w:p>
    <w:p>
      <w:pPr>
        <w:pStyle w:val="ListNumber"/>
        <w:spacing w:after="40"/>
      </w:pPr>
      <w:r>
        <w:t>OpenAlex API and Snapshot Documentation。</w:t>
      </w:r>
    </w:p>
    <w:p>
      <w:pPr>
        <w:pStyle w:val="ListNumber"/>
        <w:spacing w:after="40"/>
      </w:pPr>
      <w:r>
        <w:t>DBLP Search API and XML Dataset Documentation。</w:t>
      </w:r>
    </w:p>
    <w:p>
      <w:pPr>
        <w:pStyle w:val="ListNumber"/>
        <w:spacing w:after="40"/>
      </w:pPr>
      <w:r>
        <w:t>Crossref REST API Documentation。</w:t>
      </w:r>
    </w:p>
    <w:p>
      <w:pPr>
        <w:pStyle w:val="ListNumber"/>
        <w:spacing w:after="40"/>
      </w:pPr>
      <w:r>
        <w:t>OpenCitations Index REST API Documentation。</w:t>
      </w:r>
    </w:p>
    <w:p>
      <w:pPr>
        <w:pStyle w:val="ListNumber"/>
        <w:spacing w:after="40"/>
      </w:pPr>
      <w:r>
        <w:t>ORCID Public API Documentation。</w:t>
      </w:r>
    </w:p>
    <w:p>
      <w:pPr>
        <w:pStyle w:val="ListNumber"/>
        <w:spacing w:after="40"/>
      </w:pPr>
      <w:r>
        <w:t>Research Organization Registry Documentation。</w:t>
      </w:r>
    </w:p>
    <w:p>
      <w:pPr>
        <w:pStyle w:val="ListNumber"/>
        <w:spacing w:after="40"/>
      </w:pPr>
      <w:r>
        <w:t>国家知识产权局专利检索及分析系统公开资料。</w:t>
      </w:r>
    </w:p>
    <w:p>
      <w:pPr>
        <w:pStyle w:val="ListNumber"/>
        <w:spacing w:after="40"/>
      </w:pPr>
      <w:r>
        <w:t>European Patent Office Open Patent Services Documentation。</w:t>
      </w:r>
    </w:p>
    <w:p>
      <w:pPr>
        <w:pStyle w:val="ListNumber"/>
        <w:spacing w:after="40"/>
      </w:pPr>
      <w:r>
        <w:t>国家科学技术奖励工作办公室、科学技术部、中国计算机学会和中国电子学会公开获奖目录。</w:t>
      </w:r>
    </w:p>
    <w:sectPr w:rsidR="00FC693F" w:rsidRPr="0006063C" w:rsidSect="00034616">
      <w:footerReference w:type="default" r:id="rId9"/>
      <w:pgSz w:w="12240" w:h="15840"/>
      <w:pgMar w:top="1304"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fldChar w:fldCharType="begin"/>
      <w:instrText xml:space="preserve"> PAGE </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