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44FB4" w:rsidRDefault="005F783C" w:rsidP="00544FB4">
      <w:pPr>
        <w:pStyle w:val="CoverTitle"/>
        <w:ind w:left="2070"/>
        <w:sectPr w:rsidR="00544FB4">
          <w:headerReference w:type="default" r:id="rId8"/>
          <w:type w:val="continuous"/>
          <w:pgSz w:w="15840" w:h="12240" w:orient="landscape" w:code="1"/>
          <w:pgMar w:top="2330" w:right="1530" w:bottom="1170" w:left="3960" w:header="994" w:gutter="0"/>
        </w:sectPr>
      </w:pPr>
      <w:r>
        <w:t>Disrupting</w:t>
      </w:r>
      <w:r w:rsidR="00E9320C">
        <w:t xml:space="preserve"> social order </w:t>
      </w:r>
      <w:r w:rsidR="00A5665A">
        <w:t>by</w:t>
      </w:r>
      <w:r w:rsidR="00E9320C">
        <w:t xml:space="preserve"> </w:t>
      </w:r>
      <w:r w:rsidR="00A5665A">
        <w:t xml:space="preserve">exposing </w:t>
      </w:r>
      <w:r>
        <w:t xml:space="preserve">personal accountability for </w:t>
      </w:r>
      <w:r w:rsidR="00E9320C">
        <w:t xml:space="preserve">energy </w:t>
      </w:r>
      <w:r w:rsidR="00A5665A">
        <w:t>consumption</w:t>
      </w:r>
    </w:p>
    <w:p w:rsidR="00544FB4" w:rsidRDefault="00544FB4"/>
    <w:p w:rsidR="00544FB4" w:rsidRDefault="00544FB4"/>
    <w:p w:rsidR="00544FB4" w:rsidRDefault="00544FB4">
      <w:pPr>
        <w:pStyle w:val="Heading1"/>
        <w:sectPr w:rsidR="00544FB4">
          <w:headerReference w:type="default" r:id="rId9"/>
          <w:type w:val="continuous"/>
          <w:pgSz w:w="15840" w:h="12240" w:orient="landscape" w:code="1"/>
          <w:pgMar w:top="2330" w:right="1530" w:bottom="1170" w:left="3960" w:header="994" w:gutter="0"/>
        </w:sectPr>
      </w:pPr>
    </w:p>
    <w:p w:rsidR="00544FB4" w:rsidRPr="003A2DC2" w:rsidRDefault="00544FB4" w:rsidP="00544FB4">
      <w:pPr>
        <w:pStyle w:val="Heading1"/>
        <w:framePr w:w="4810" w:h="1440" w:hRule="exact" w:wrap="around" w:vAnchor="page" w:hAnchor="page" w:x="3862" w:y="9905" w:anchorLock="1"/>
        <w:pBdr>
          <w:top w:val="single" w:sz="4" w:space="1" w:color="808080"/>
        </w:pBdr>
        <w:rPr>
          <w:b w:val="0"/>
          <w:snapToGrid w:val="0"/>
          <w:kern w:val="18"/>
          <w:sz w:val="14"/>
        </w:rPr>
      </w:pPr>
      <w:r w:rsidRPr="003A2DC2">
        <w:rPr>
          <w:b w:val="0"/>
          <w:snapToGrid w:val="0"/>
          <w:kern w:val="18"/>
          <w:sz w:val="14"/>
        </w:rPr>
        <w:t>Copyright is held by the author/owner(s).</w:t>
      </w:r>
    </w:p>
    <w:p w:rsidR="00544FB4" w:rsidRPr="005125D2" w:rsidRDefault="00544FB4" w:rsidP="00544FB4">
      <w:pPr>
        <w:pStyle w:val="Heading1"/>
        <w:framePr w:w="4810" w:h="1440" w:hRule="exact" w:wrap="around" w:vAnchor="page" w:hAnchor="page" w:x="3862" w:y="9905" w:anchorLock="1"/>
        <w:pBdr>
          <w:top w:val="single" w:sz="4" w:space="1" w:color="808080"/>
        </w:pBdr>
        <w:rPr>
          <w:b w:val="0"/>
          <w:snapToGrid w:val="0"/>
          <w:kern w:val="18"/>
          <w:sz w:val="14"/>
          <w:lang w:val="it-IT"/>
        </w:rPr>
      </w:pPr>
      <w:proofErr w:type="spellStart"/>
      <w:r>
        <w:rPr>
          <w:b w:val="0"/>
          <w:i/>
          <w:snapToGrid w:val="0"/>
          <w:kern w:val="18"/>
          <w:sz w:val="14"/>
          <w:lang w:val="it-IT"/>
        </w:rPr>
        <w:t>MobileHCI</w:t>
      </w:r>
      <w:proofErr w:type="spellEnd"/>
      <w:r w:rsidRPr="009254A1">
        <w:rPr>
          <w:b w:val="0"/>
          <w:i/>
          <w:snapToGrid w:val="0"/>
          <w:kern w:val="18"/>
          <w:sz w:val="14"/>
          <w:lang w:val="it-IT"/>
        </w:rPr>
        <w:t xml:space="preserve"> </w:t>
      </w:r>
      <w:r>
        <w:rPr>
          <w:b w:val="0"/>
          <w:i/>
          <w:snapToGrid w:val="0"/>
          <w:kern w:val="18"/>
          <w:sz w:val="14"/>
          <w:lang w:val="it-IT"/>
        </w:rPr>
        <w:t>2011</w:t>
      </w:r>
      <w:r w:rsidRPr="009254A1">
        <w:rPr>
          <w:b w:val="0"/>
          <w:snapToGrid w:val="0"/>
          <w:kern w:val="18"/>
          <w:sz w:val="14"/>
          <w:lang w:val="it-IT"/>
        </w:rPr>
        <w:t xml:space="preserve">, </w:t>
      </w:r>
      <w:proofErr w:type="spellStart"/>
      <w:r>
        <w:rPr>
          <w:b w:val="0"/>
          <w:snapToGrid w:val="0"/>
          <w:kern w:val="18"/>
          <w:sz w:val="14"/>
          <w:lang w:val="it-IT"/>
        </w:rPr>
        <w:t>Aug</w:t>
      </w:r>
      <w:proofErr w:type="spellEnd"/>
      <w:r>
        <w:rPr>
          <w:b w:val="0"/>
          <w:snapToGrid w:val="0"/>
          <w:kern w:val="18"/>
          <w:sz w:val="14"/>
          <w:lang w:val="it-IT"/>
        </w:rPr>
        <w:t xml:space="preserve"> 30</w:t>
      </w:r>
      <w:r w:rsidRPr="001D256D">
        <w:rPr>
          <w:b w:val="0"/>
          <w:snapToGrid w:val="0"/>
          <w:kern w:val="18"/>
          <w:sz w:val="14"/>
          <w:lang w:val="it-IT"/>
        </w:rPr>
        <w:t>–</w:t>
      </w:r>
      <w:r>
        <w:rPr>
          <w:b w:val="0"/>
          <w:snapToGrid w:val="0"/>
          <w:kern w:val="18"/>
          <w:sz w:val="14"/>
          <w:lang w:val="it-IT"/>
        </w:rPr>
        <w:t xml:space="preserve">Sept 2, 2011, </w:t>
      </w:r>
      <w:proofErr w:type="spellStart"/>
      <w:r>
        <w:rPr>
          <w:b w:val="0"/>
          <w:snapToGrid w:val="0"/>
          <w:kern w:val="18"/>
          <w:sz w:val="14"/>
          <w:lang w:val="it-IT"/>
        </w:rPr>
        <w:t>Stockholm</w:t>
      </w:r>
      <w:proofErr w:type="spellEnd"/>
      <w:r>
        <w:rPr>
          <w:b w:val="0"/>
          <w:snapToGrid w:val="0"/>
          <w:kern w:val="18"/>
          <w:sz w:val="14"/>
          <w:lang w:val="it-IT"/>
        </w:rPr>
        <w:t xml:space="preserve">, </w:t>
      </w:r>
      <w:proofErr w:type="spellStart"/>
      <w:r>
        <w:rPr>
          <w:b w:val="0"/>
          <w:snapToGrid w:val="0"/>
          <w:kern w:val="18"/>
          <w:sz w:val="14"/>
          <w:lang w:val="it-IT"/>
        </w:rPr>
        <w:t>Sweden</w:t>
      </w:r>
      <w:proofErr w:type="spellEnd"/>
      <w:r w:rsidRPr="005125D2">
        <w:rPr>
          <w:b w:val="0"/>
          <w:snapToGrid w:val="0"/>
          <w:kern w:val="18"/>
          <w:sz w:val="14"/>
          <w:lang w:val="it-IT"/>
        </w:rPr>
        <w:t>.</w:t>
      </w:r>
    </w:p>
    <w:p w:rsidR="00544FB4" w:rsidRPr="009254A1" w:rsidRDefault="00544FB4" w:rsidP="00544FB4">
      <w:pPr>
        <w:framePr w:w="4810" w:h="1440" w:hRule="exact" w:wrap="around" w:vAnchor="page" w:hAnchor="page" w:x="3862" w:y="9905" w:anchorLock="1"/>
        <w:rPr>
          <w:snapToGrid w:val="0"/>
          <w:sz w:val="14"/>
          <w:lang w:val="it-IT"/>
        </w:rPr>
      </w:pPr>
      <w:r w:rsidRPr="005125D2">
        <w:rPr>
          <w:snapToGrid w:val="0"/>
          <w:sz w:val="14"/>
          <w:lang w:val="it-IT"/>
        </w:rPr>
        <w:t>ACM</w:t>
      </w:r>
      <w:proofErr w:type="gramStart"/>
      <w:r w:rsidRPr="005125D2">
        <w:rPr>
          <w:snapToGrid w:val="0"/>
          <w:sz w:val="14"/>
          <w:lang w:val="it-IT"/>
        </w:rPr>
        <w:t xml:space="preserve">  </w:t>
      </w:r>
      <w:proofErr w:type="gramEnd"/>
      <w:r w:rsidRPr="007822C8">
        <w:rPr>
          <w:snapToGrid w:val="0"/>
          <w:sz w:val="14"/>
          <w:lang w:val="it-IT"/>
        </w:rPr>
        <w:t>978-1-4503-0541-9</w:t>
      </w:r>
      <w:r w:rsidRPr="005125D2">
        <w:rPr>
          <w:snapToGrid w:val="0"/>
          <w:sz w:val="14"/>
          <w:lang w:val="it-IT"/>
        </w:rPr>
        <w:t>/</w:t>
      </w:r>
      <w:r>
        <w:rPr>
          <w:snapToGrid w:val="0"/>
          <w:sz w:val="14"/>
          <w:lang w:val="it-IT"/>
        </w:rPr>
        <w:t>11/08-09</w:t>
      </w:r>
      <w:r w:rsidRPr="009254A1">
        <w:rPr>
          <w:snapToGrid w:val="0"/>
          <w:sz w:val="14"/>
          <w:lang w:val="it-IT"/>
        </w:rPr>
        <w:t>.</w:t>
      </w:r>
    </w:p>
    <w:p w:rsidR="00544FB4" w:rsidRDefault="0026353D" w:rsidP="00544FB4">
      <w:pPr>
        <w:pStyle w:val="Heading1"/>
      </w:pPr>
      <w:r>
        <w:pict>
          <v:shapetype id="_x0000_t202" coordsize="21600,21600" o:spt="202" path="m0,0l0,21600,21600,21600,21600,0xe">
            <v:stroke joinstyle="miter"/>
            <v:path gradientshapeok="t" o:connecttype="rect"/>
          </v:shapetype>
          <v:shape id="_x0000_s1040" type="#_x0000_t202" style="position:absolute;margin-left:121.05pt;margin-top:.7pt;width:133.35pt;height:311.1pt;z-index:251661824" filled="f" stroked="f">
            <v:textbox style="mso-next-textbox:#_x0000_s1040" inset="0,0,0,0">
              <w:txbxContent>
                <w:p w:rsidR="00C31FD6" w:rsidRDefault="00C31FD6" w:rsidP="00544FB4">
                  <w:pPr>
                    <w:pStyle w:val="authorName"/>
                  </w:pPr>
                </w:p>
                <w:p w:rsidR="00C31FD6" w:rsidRDefault="00C31FD6" w:rsidP="00544FB4">
                  <w:pPr>
                    <w:pStyle w:val="authorAddress"/>
                  </w:pPr>
                </w:p>
              </w:txbxContent>
            </v:textbox>
            <w10:wrap type="square"/>
          </v:shape>
        </w:pict>
      </w:r>
      <w:r>
        <w:pict>
          <v:shape id="_x0000_s1039" type="#_x0000_t202" style="position:absolute;margin-left:-4.95pt;margin-top:.7pt;width:133.35pt;height:311.1pt;z-index:251660800" filled="f" stroked="f">
            <v:textbox style="mso-next-textbox:#_x0000_s1039" inset="0,0,0,0">
              <w:txbxContent>
                <w:p w:rsidR="00C31FD6" w:rsidRDefault="00C31FD6" w:rsidP="00A5665A">
                  <w:pPr>
                    <w:pStyle w:val="authorName"/>
                  </w:pPr>
                  <w:r>
                    <w:t xml:space="preserve">Ben </w:t>
                  </w:r>
                  <w:proofErr w:type="spellStart"/>
                  <w:r>
                    <w:t>Bedwell</w:t>
                  </w:r>
                  <w:proofErr w:type="spellEnd"/>
                </w:p>
                <w:p w:rsidR="00C31FD6" w:rsidRDefault="00C31FD6" w:rsidP="00A5665A">
                  <w:pPr>
                    <w:pStyle w:val="authorAddress"/>
                  </w:pPr>
                  <w:r>
                    <w:t>Horizon Research Institute</w:t>
                  </w:r>
                </w:p>
                <w:p w:rsidR="00C31FD6" w:rsidRDefault="00C31FD6" w:rsidP="00A5665A">
                  <w:pPr>
                    <w:pStyle w:val="authorAddress"/>
                  </w:pPr>
                  <w:r>
                    <w:t>University of Nottingham</w:t>
                  </w:r>
                </w:p>
                <w:p w:rsidR="00C31FD6" w:rsidRDefault="00C31FD6" w:rsidP="00A5665A">
                  <w:pPr>
                    <w:pStyle w:val="authorAddress"/>
                  </w:pPr>
                  <w:r>
                    <w:t>Nottingham, UK, NG72TU</w:t>
                  </w:r>
                </w:p>
                <w:p w:rsidR="00C31FD6" w:rsidRDefault="00C31FD6" w:rsidP="00A5665A">
                  <w:pPr>
                    <w:pStyle w:val="authorAddress"/>
                  </w:pPr>
                  <w:r>
                    <w:t>bzb@cs.nott.ac.uk</w:t>
                  </w:r>
                </w:p>
                <w:p w:rsidR="00C31FD6" w:rsidRDefault="00C31FD6" w:rsidP="00544FB4">
                  <w:pPr>
                    <w:pStyle w:val="authorAddress"/>
                  </w:pPr>
                </w:p>
                <w:p w:rsidR="00C31FD6" w:rsidRDefault="00C31FD6" w:rsidP="00544FB4">
                  <w:pPr>
                    <w:pStyle w:val="authorName"/>
                  </w:pPr>
                  <w:r>
                    <w:t>James Colley</w:t>
                  </w:r>
                </w:p>
                <w:p w:rsidR="00C31FD6" w:rsidRDefault="00C31FD6" w:rsidP="00A5665A">
                  <w:pPr>
                    <w:pStyle w:val="authorAddress"/>
                  </w:pPr>
                  <w:r>
                    <w:t>The Mixed Reality Laboratory</w:t>
                  </w:r>
                </w:p>
                <w:p w:rsidR="00C31FD6" w:rsidRDefault="00C31FD6" w:rsidP="00A5665A">
                  <w:pPr>
                    <w:pStyle w:val="authorAddress"/>
                  </w:pPr>
                  <w:r>
                    <w:t>University of Nottingham</w:t>
                  </w:r>
                </w:p>
                <w:p w:rsidR="00C31FD6" w:rsidRDefault="00C31FD6" w:rsidP="00A5665A">
                  <w:pPr>
                    <w:pStyle w:val="authorAddress"/>
                  </w:pPr>
                  <w:r>
                    <w:t>Nottingham, UK, NG81BB</w:t>
                  </w:r>
                </w:p>
                <w:p w:rsidR="00C31FD6" w:rsidRDefault="00C31FD6" w:rsidP="00544FB4">
                  <w:pPr>
                    <w:pStyle w:val="authorAddress"/>
                  </w:pPr>
                  <w:r>
                    <w:t>jzc@cs.nott.ac.uk</w:t>
                  </w:r>
                </w:p>
                <w:p w:rsidR="00C31FD6" w:rsidRDefault="00C31FD6" w:rsidP="00544FB4">
                  <w:pPr>
                    <w:pStyle w:val="authorAddress"/>
                  </w:pPr>
                </w:p>
                <w:p w:rsidR="00C31FD6" w:rsidRDefault="00C31FD6" w:rsidP="00A5665A">
                  <w:pPr>
                    <w:pStyle w:val="authorName"/>
                  </w:pPr>
                  <w:r>
                    <w:t>Joel Fischer</w:t>
                  </w:r>
                </w:p>
                <w:p w:rsidR="00C31FD6" w:rsidRDefault="00C31FD6" w:rsidP="00A5665A">
                  <w:pPr>
                    <w:pStyle w:val="authorAddress"/>
                  </w:pPr>
                  <w:r>
                    <w:t>The Mixed Reality Laboratory</w:t>
                  </w:r>
                </w:p>
                <w:p w:rsidR="00C31FD6" w:rsidRDefault="00C31FD6" w:rsidP="00A5665A">
                  <w:pPr>
                    <w:pStyle w:val="authorAddress"/>
                  </w:pPr>
                  <w:r>
                    <w:t>University of Nottingham</w:t>
                  </w:r>
                </w:p>
                <w:p w:rsidR="00C31FD6" w:rsidRDefault="00C31FD6" w:rsidP="00A5665A">
                  <w:pPr>
                    <w:pStyle w:val="authorAddress"/>
                  </w:pPr>
                  <w:r>
                    <w:t>Nottingham, UK, NG81BB</w:t>
                  </w:r>
                </w:p>
                <w:p w:rsidR="00C31FD6" w:rsidRDefault="00C31FD6" w:rsidP="00544FB4">
                  <w:pPr>
                    <w:pStyle w:val="authorAddress"/>
                  </w:pPr>
                  <w:r>
                    <w:t>jef@cs.nott.ac.uk</w:t>
                  </w:r>
                </w:p>
              </w:txbxContent>
            </v:textbox>
            <w10:wrap type="square"/>
          </v:shape>
        </w:pict>
      </w:r>
      <w:r w:rsidR="00544FB4">
        <w:t>Abstract</w:t>
      </w:r>
    </w:p>
    <w:p w:rsidR="00544FB4" w:rsidRPr="008823B5" w:rsidRDefault="000F699F">
      <w:r>
        <w:t xml:space="preserve">A key component of the future Internet of Things - </w:t>
      </w:r>
      <w:r w:rsidR="005847E8">
        <w:t>energy monitoring infrastructures</w:t>
      </w:r>
      <w:r>
        <w:t xml:space="preserve"> -</w:t>
      </w:r>
      <w:r w:rsidR="005847E8">
        <w:t xml:space="preserve"> have </w:t>
      </w:r>
      <w:r w:rsidR="00392B9F">
        <w:t xml:space="preserve">the </w:t>
      </w:r>
      <w:r w:rsidR="005847E8">
        <w:t>potential to disrupt established social order</w:t>
      </w:r>
      <w:r>
        <w:t xml:space="preserve"> in the home, workplace and public space</w:t>
      </w:r>
      <w:r w:rsidR="005847E8">
        <w:t xml:space="preserve"> by reintroducing energy as a contentious </w:t>
      </w:r>
      <w:r w:rsidR="005847E8" w:rsidRPr="005F783C">
        <w:rPr>
          <w:i/>
        </w:rPr>
        <w:t>resource</w:t>
      </w:r>
      <w:r w:rsidR="005847E8">
        <w:t xml:space="preserve"> where it has </w:t>
      </w:r>
      <w:r w:rsidR="005F783C">
        <w:t>become</w:t>
      </w:r>
      <w:r>
        <w:t xml:space="preserve"> considered a </w:t>
      </w:r>
      <w:r w:rsidRPr="005F783C">
        <w:rPr>
          <w:i/>
        </w:rPr>
        <w:t>right</w:t>
      </w:r>
      <w:r>
        <w:t xml:space="preserve">. We suggest that this disruption has both positive and negative implications </w:t>
      </w:r>
      <w:r w:rsidR="005F783C">
        <w:t>and that</w:t>
      </w:r>
      <w:r>
        <w:t xml:space="preserve"> </w:t>
      </w:r>
      <w:r w:rsidR="005F783C">
        <w:t>it is</w:t>
      </w:r>
      <w:r>
        <w:t xml:space="preserve"> vital </w:t>
      </w:r>
      <w:r w:rsidR="005F783C">
        <w:t>that we</w:t>
      </w:r>
      <w:r>
        <w:t xml:space="preserve"> understand</w:t>
      </w:r>
      <w:r w:rsidR="00392B9F">
        <w:t xml:space="preserve"> </w:t>
      </w:r>
      <w:r w:rsidR="005F783C">
        <w:t xml:space="preserve">these </w:t>
      </w:r>
      <w:r w:rsidR="00392B9F">
        <w:t>before designing energy monitoring technologies</w:t>
      </w:r>
      <w:r>
        <w:t>.</w:t>
      </w:r>
    </w:p>
    <w:p w:rsidR="00544FB4" w:rsidRDefault="00544FB4">
      <w:pPr>
        <w:pStyle w:val="Heading1"/>
      </w:pPr>
      <w:r>
        <w:t>Keywords</w:t>
      </w:r>
    </w:p>
    <w:p w:rsidR="00544FB4" w:rsidRPr="008823B5" w:rsidRDefault="00544FB4">
      <w:r>
        <w:t xml:space="preserve">Sustainability, HCI, Energy monitoring, metering </w:t>
      </w:r>
    </w:p>
    <w:p w:rsidR="00544FB4" w:rsidRDefault="00544FB4" w:rsidP="00544FB4">
      <w:pPr>
        <w:pStyle w:val="Heading1"/>
      </w:pPr>
      <w:r>
        <w:t>ACM Classification Keywords</w:t>
      </w:r>
    </w:p>
    <w:p w:rsidR="00544FB4" w:rsidRDefault="00544FB4">
      <w:r>
        <w:t xml:space="preserve">H5.m. Information interfaces and presentation (e.g., HCI): Miscellaneous. </w:t>
      </w:r>
    </w:p>
    <w:p w:rsidR="00544FB4" w:rsidRDefault="00544FB4" w:rsidP="00544FB4">
      <w:pPr>
        <w:pStyle w:val="Heading1"/>
      </w:pPr>
      <w:r>
        <w:t>General Terms</w:t>
      </w:r>
    </w:p>
    <w:p w:rsidR="00544FB4" w:rsidRPr="008823B5" w:rsidRDefault="00544FB4" w:rsidP="00544FB4">
      <w:proofErr w:type="gramStart"/>
      <w:r>
        <w:t>Design, Human Factors.</w:t>
      </w:r>
      <w:proofErr w:type="gramEnd"/>
    </w:p>
    <w:p w:rsidR="00544FB4" w:rsidRDefault="00544FB4">
      <w:pPr>
        <w:pStyle w:val="Heading1"/>
      </w:pPr>
      <w:r>
        <w:t>Introduction</w:t>
      </w:r>
    </w:p>
    <w:p w:rsidR="00A5665A" w:rsidRPr="00676261" w:rsidRDefault="00676261" w:rsidP="00A5665A">
      <w:pPr>
        <w:rPr>
          <w:kern w:val="0"/>
          <w:lang w:val="en-GB"/>
        </w:rPr>
      </w:pPr>
      <w:r>
        <w:rPr>
          <w:kern w:val="0"/>
          <w:lang w:val="en-GB"/>
        </w:rPr>
        <w:t>A</w:t>
      </w:r>
      <w:r w:rsidR="00F97D4B">
        <w:rPr>
          <w:kern w:val="0"/>
          <w:lang w:val="en-GB"/>
        </w:rPr>
        <w:t xml:space="preserve"> historical abundance of the fossil resourc</w:t>
      </w:r>
      <w:r>
        <w:rPr>
          <w:kern w:val="0"/>
          <w:lang w:val="en-GB"/>
        </w:rPr>
        <w:t>es used to generate large proportions of the energy consumed in the home, workplace and for travel</w:t>
      </w:r>
      <w:r w:rsidR="00392B9F">
        <w:rPr>
          <w:kern w:val="0"/>
          <w:lang w:val="en-GB"/>
        </w:rPr>
        <w:t>,</w:t>
      </w:r>
      <w:r>
        <w:rPr>
          <w:kern w:val="0"/>
          <w:lang w:val="en-GB"/>
        </w:rPr>
        <w:t xml:space="preserve"> combined with</w:t>
      </w:r>
      <w:r w:rsidR="00F97D4B">
        <w:rPr>
          <w:kern w:val="0"/>
          <w:lang w:val="en-GB"/>
        </w:rPr>
        <w:t xml:space="preserve"> the </w:t>
      </w:r>
      <w:r w:rsidR="00392B9F">
        <w:rPr>
          <w:kern w:val="0"/>
          <w:lang w:val="en-GB"/>
        </w:rPr>
        <w:t>abstraction of</w:t>
      </w:r>
      <w:r w:rsidR="00F97D4B">
        <w:rPr>
          <w:kern w:val="0"/>
          <w:lang w:val="en-GB"/>
        </w:rPr>
        <w:t xml:space="preserve"> the Western consumer </w:t>
      </w:r>
      <w:r w:rsidR="00392B9F">
        <w:rPr>
          <w:kern w:val="0"/>
          <w:lang w:val="en-GB"/>
        </w:rPr>
        <w:t>from</w:t>
      </w:r>
      <w:r w:rsidR="00F97D4B">
        <w:rPr>
          <w:kern w:val="0"/>
          <w:lang w:val="en-GB"/>
        </w:rPr>
        <w:t xml:space="preserve"> the process by which the energy is generated, </w:t>
      </w:r>
      <w:r>
        <w:rPr>
          <w:kern w:val="0"/>
          <w:lang w:val="en-GB"/>
        </w:rPr>
        <w:t xml:space="preserve">means that </w:t>
      </w:r>
      <w:r w:rsidR="00F97D4B">
        <w:rPr>
          <w:kern w:val="0"/>
          <w:lang w:val="en-GB"/>
        </w:rPr>
        <w:t>t</w:t>
      </w:r>
      <w:r w:rsidR="00A5665A">
        <w:rPr>
          <w:kern w:val="0"/>
          <w:lang w:val="en-GB"/>
        </w:rPr>
        <w:t xml:space="preserve">he </w:t>
      </w:r>
      <w:r w:rsidR="00F97D4B">
        <w:rPr>
          <w:kern w:val="0"/>
          <w:lang w:val="en-GB"/>
        </w:rPr>
        <w:t>privilege of guaranteed electricity at the flick of a switch is taken for granted.</w:t>
      </w:r>
      <w:r>
        <w:rPr>
          <w:kern w:val="0"/>
          <w:lang w:val="en-GB"/>
        </w:rPr>
        <w:t xml:space="preserve"> Energy – in particular electricity – is thought of less as a consumable resource and more as a right.</w:t>
      </w:r>
    </w:p>
    <w:p w:rsidR="00676261" w:rsidRPr="00676261" w:rsidRDefault="00417FB9" w:rsidP="00A5665A">
      <w:pPr>
        <w:rPr>
          <w:kern w:val="0"/>
          <w:lang w:val="en-GB"/>
        </w:rPr>
      </w:pPr>
      <w:r>
        <w:rPr>
          <w:kern w:val="0"/>
          <w:lang w:val="en-GB"/>
        </w:rPr>
        <w:t xml:space="preserve">There is compelling and widely accepted evidence that </w:t>
      </w:r>
      <w:r w:rsidR="009B0399">
        <w:rPr>
          <w:kern w:val="0"/>
          <w:lang w:val="en-GB"/>
        </w:rPr>
        <w:t>global peak oil</w:t>
      </w:r>
      <w:r w:rsidR="006037CF">
        <w:rPr>
          <w:kern w:val="0"/>
          <w:lang w:val="en-GB"/>
        </w:rPr>
        <w:t>,</w:t>
      </w:r>
      <w:r w:rsidR="009B0399">
        <w:rPr>
          <w:kern w:val="0"/>
          <w:lang w:val="en-GB"/>
        </w:rPr>
        <w:t xml:space="preserve"> coal</w:t>
      </w:r>
      <w:r w:rsidR="006037CF">
        <w:rPr>
          <w:kern w:val="0"/>
          <w:lang w:val="en-GB"/>
        </w:rPr>
        <w:t xml:space="preserve"> and gas</w:t>
      </w:r>
      <w:r w:rsidR="009B0399">
        <w:rPr>
          <w:kern w:val="0"/>
          <w:lang w:val="en-GB"/>
        </w:rPr>
        <w:t xml:space="preserve"> production may be reached within 50 years </w:t>
      </w:r>
      <w:r w:rsidR="009D7327">
        <w:rPr>
          <w:noProof/>
          <w:kern w:val="0"/>
          <w:lang w:val="en-GB"/>
        </w:rPr>
        <w:t xml:space="preserve">[1,5,7], </w:t>
      </w:r>
      <w:r w:rsidR="006037CF">
        <w:rPr>
          <w:kern w:val="0"/>
          <w:lang w:val="en-GB"/>
        </w:rPr>
        <w:t>and the financial and political effects of this increasing (and uneven) scarcity of resources are already emerging across the globe</w:t>
      </w:r>
      <w:r w:rsidR="00676261">
        <w:rPr>
          <w:kern w:val="0"/>
          <w:lang w:val="en-GB"/>
        </w:rPr>
        <w:t>.</w:t>
      </w:r>
    </w:p>
    <w:p w:rsidR="008978FD" w:rsidRPr="00983937" w:rsidRDefault="00676261" w:rsidP="008978FD">
      <w:r>
        <w:t xml:space="preserve">In response, </w:t>
      </w:r>
      <w:r w:rsidR="006037CF">
        <w:t xml:space="preserve">as well as a fervent interest in renewable and more efficient energy sources, </w:t>
      </w:r>
      <w:r>
        <w:t>t</w:t>
      </w:r>
      <w:r w:rsidR="00A5665A">
        <w:t>here is significant interest in using energy monitoring (e.g. through future smart meters</w:t>
      </w:r>
      <w:r>
        <w:t xml:space="preserve">, and </w:t>
      </w:r>
      <w:r w:rsidR="006037CF">
        <w:t>existing products</w:t>
      </w:r>
      <w:r>
        <w:t xml:space="preserve"> such as </w:t>
      </w:r>
      <w:proofErr w:type="spellStart"/>
      <w:r>
        <w:t>CurrentCost</w:t>
      </w:r>
      <w:proofErr w:type="spellEnd"/>
      <w:r w:rsidR="00A932E3">
        <w:rPr>
          <w:rStyle w:val="FootnoteReference"/>
        </w:rPr>
        <w:footnoteReference w:id="1"/>
      </w:r>
      <w:r>
        <w:t xml:space="preserve"> </w:t>
      </w:r>
      <w:proofErr w:type="spellStart"/>
      <w:r>
        <w:t>Envi</w:t>
      </w:r>
      <w:proofErr w:type="spellEnd"/>
      <w:r>
        <w:t>, OWL</w:t>
      </w:r>
      <w:r w:rsidR="00A932E3">
        <w:rPr>
          <w:rStyle w:val="FootnoteReference"/>
        </w:rPr>
        <w:footnoteReference w:id="2"/>
      </w:r>
      <w:r>
        <w:t>, etc.</w:t>
      </w:r>
      <w:r w:rsidR="00A5665A">
        <w:t xml:space="preserve">) </w:t>
      </w:r>
      <w:r w:rsidR="006037CF">
        <w:t xml:space="preserve">and energy displays </w:t>
      </w:r>
      <w:r w:rsidR="00A5665A">
        <w:t xml:space="preserve">to change </w:t>
      </w:r>
      <w:r w:rsidR="00C9795A">
        <w:t xml:space="preserve">personal </w:t>
      </w:r>
      <w:r w:rsidR="00A5665A">
        <w:t xml:space="preserve">energy consumption </w:t>
      </w:r>
      <w:proofErr w:type="spellStart"/>
      <w:r w:rsidR="00A5665A">
        <w:t>behaviour</w:t>
      </w:r>
      <w:proofErr w:type="spellEnd"/>
      <w:r w:rsidR="00A5665A">
        <w:t xml:space="preserve"> by making consumers more immediately and visibly a</w:t>
      </w:r>
      <w:r w:rsidR="006037CF">
        <w:t>ccountable</w:t>
      </w:r>
      <w:r w:rsidR="00A932E3">
        <w:t xml:space="preserve">. </w:t>
      </w:r>
      <w:r w:rsidR="00476537">
        <w:t xml:space="preserve">Interest in this strategy for tackling our energy-related issues is evident in both government and academia. The UK government has confirmed plans to </w:t>
      </w:r>
      <w:r w:rsidR="00476537" w:rsidRPr="00476537">
        <w:t xml:space="preserve">roll out of electricity and gas smart meters to all homes in Great Britain </w:t>
      </w:r>
      <w:r w:rsidR="00476537">
        <w:t xml:space="preserve">by the end of 2020 </w:t>
      </w:r>
      <w:r w:rsidR="009D7327">
        <w:rPr>
          <w:noProof/>
          <w:lang w:val="en-GB"/>
        </w:rPr>
        <w:t>[3]</w:t>
      </w:r>
      <w:r w:rsidR="00983937">
        <w:t>, connecting every house to the Internet to allow remote monitoring of energy use</w:t>
      </w:r>
      <w:r w:rsidR="00476537">
        <w:t xml:space="preserve">. </w:t>
      </w:r>
      <w:r w:rsidR="00A932E3">
        <w:t xml:space="preserve">In a thorough review of sustainable HCI literature, </w:t>
      </w:r>
      <w:proofErr w:type="spellStart"/>
      <w:r w:rsidR="00A932E3">
        <w:t>DiSalvo</w:t>
      </w:r>
      <w:proofErr w:type="spellEnd"/>
      <w:r w:rsidR="00A932E3">
        <w:t xml:space="preserve"> et al. </w:t>
      </w:r>
      <w:r w:rsidR="00C9795A">
        <w:t xml:space="preserve">illustrated the </w:t>
      </w:r>
      <w:r w:rsidR="00476537">
        <w:t xml:space="preserve">scale of the academic </w:t>
      </w:r>
      <w:r w:rsidR="00983937">
        <w:t>research interest in the scope such an infrastructure might provide</w:t>
      </w:r>
      <w:r w:rsidR="00C9795A">
        <w:t xml:space="preserve">, </w:t>
      </w:r>
      <w:r w:rsidR="00476537">
        <w:t>finding</w:t>
      </w:r>
      <w:r w:rsidR="00A932E3">
        <w:t xml:space="preserve"> that almost half</w:t>
      </w:r>
      <w:r w:rsidR="00476537">
        <w:t xml:space="preserve"> the reviewed literature</w:t>
      </w:r>
      <w:r w:rsidR="00A932E3">
        <w:t xml:space="preserve"> pertained to the </w:t>
      </w:r>
      <w:r w:rsidR="00983937">
        <w:t xml:space="preserve">ways in which </w:t>
      </w:r>
      <w:r w:rsidR="00A932E3">
        <w:t>feedback</w:t>
      </w:r>
      <w:r w:rsidR="00983937">
        <w:t xml:space="preserve"> might be presented to consumers</w:t>
      </w:r>
      <w:r w:rsidR="00A932E3">
        <w:t xml:space="preserve"> to encourage reflection on consumption and persuade </w:t>
      </w:r>
      <w:proofErr w:type="spellStart"/>
      <w:r w:rsidR="00A932E3">
        <w:t>behaviour</w:t>
      </w:r>
      <w:proofErr w:type="spellEnd"/>
      <w:r w:rsidR="00A932E3">
        <w:t xml:space="preserve"> change </w:t>
      </w:r>
      <w:r w:rsidR="009D7327">
        <w:rPr>
          <w:noProof/>
          <w:lang w:val="en-GB"/>
        </w:rPr>
        <w:t>[4]</w:t>
      </w:r>
      <w:r w:rsidR="00A5665A">
        <w:t>.</w:t>
      </w:r>
      <w:r w:rsidR="00983937">
        <w:t xml:space="preserve"> </w:t>
      </w:r>
      <w:r w:rsidR="00347779">
        <w:rPr>
          <w:kern w:val="0"/>
          <w:lang w:val="en-GB"/>
        </w:rPr>
        <w:t>The energy-monitoring devices</w:t>
      </w:r>
      <w:r w:rsidR="00A932E3">
        <w:rPr>
          <w:kern w:val="0"/>
          <w:lang w:val="en-GB"/>
        </w:rPr>
        <w:t xml:space="preserve"> and the “persuasive” </w:t>
      </w:r>
      <w:r w:rsidR="002232F5">
        <w:rPr>
          <w:kern w:val="0"/>
          <w:lang w:val="en-GB"/>
        </w:rPr>
        <w:t xml:space="preserve">consumer-facing </w:t>
      </w:r>
      <w:r w:rsidR="00A932E3">
        <w:rPr>
          <w:kern w:val="0"/>
          <w:lang w:val="en-GB"/>
        </w:rPr>
        <w:t>technologies they drive</w:t>
      </w:r>
      <w:r w:rsidR="00347779">
        <w:rPr>
          <w:kern w:val="0"/>
          <w:lang w:val="en-GB"/>
        </w:rPr>
        <w:t xml:space="preserve"> will form an increasingly significant part of t</w:t>
      </w:r>
      <w:r w:rsidR="00A932E3">
        <w:rPr>
          <w:kern w:val="0"/>
          <w:lang w:val="en-GB"/>
        </w:rPr>
        <w:t>he I</w:t>
      </w:r>
      <w:r w:rsidR="00347779" w:rsidRPr="003F5084">
        <w:rPr>
          <w:kern w:val="0"/>
          <w:lang w:val="en-GB"/>
        </w:rPr>
        <w:t xml:space="preserve">nternet of </w:t>
      </w:r>
      <w:r w:rsidR="00A932E3">
        <w:rPr>
          <w:kern w:val="0"/>
          <w:lang w:val="en-GB"/>
        </w:rPr>
        <w:t>T</w:t>
      </w:r>
      <w:r w:rsidR="00347779" w:rsidRPr="003F5084">
        <w:rPr>
          <w:kern w:val="0"/>
          <w:lang w:val="en-GB"/>
        </w:rPr>
        <w:t>hings</w:t>
      </w:r>
      <w:r w:rsidR="008978FD">
        <w:rPr>
          <w:kern w:val="0"/>
          <w:lang w:val="en-GB"/>
        </w:rPr>
        <w:t>.</w:t>
      </w:r>
    </w:p>
    <w:p w:rsidR="00A932E3" w:rsidRDefault="00A932E3" w:rsidP="00A932E3">
      <w:pPr>
        <w:pStyle w:val="Heading1"/>
      </w:pPr>
      <w:r>
        <w:t>Energy as a resource vs. a right</w:t>
      </w:r>
    </w:p>
    <w:p w:rsidR="00A5665A" w:rsidRPr="00682873" w:rsidRDefault="00A932E3" w:rsidP="008978FD">
      <w:r>
        <w:t>Despite the increasin</w:t>
      </w:r>
      <w:r w:rsidR="00A558D3">
        <w:t xml:space="preserve">g prevalence of domestic and workplace energy monitoring and displays, </w:t>
      </w:r>
      <w:r w:rsidR="00E028AE">
        <w:t>ethnographic studies have warned of the danger of assuming that individuals can play the role of “micro resource managers”</w:t>
      </w:r>
      <w:r w:rsidR="00A558D3">
        <w:t xml:space="preserve"> </w:t>
      </w:r>
      <w:r w:rsidR="009D7327">
        <w:rPr>
          <w:noProof/>
          <w:lang w:val="en-GB"/>
        </w:rPr>
        <w:t>[8],</w:t>
      </w:r>
      <w:r w:rsidR="00E028AE">
        <w:t xml:space="preserve"> highlighting the role of social relationships in managing energy use. </w:t>
      </w:r>
      <w:r w:rsidR="008978FD">
        <w:t>There is</w:t>
      </w:r>
      <w:r w:rsidR="00E028AE">
        <w:t xml:space="preserve"> a tension between the new responsibilities placed on individuals in the role of a personal energy resource manager</w:t>
      </w:r>
      <w:r w:rsidR="008978FD">
        <w:t xml:space="preserve"> and the </w:t>
      </w:r>
      <w:r w:rsidR="00A558D3">
        <w:t xml:space="preserve">more subtle </w:t>
      </w:r>
      <w:r w:rsidR="00682873">
        <w:t xml:space="preserve">ways in which individuals </w:t>
      </w:r>
      <w:r w:rsidR="00A558D3">
        <w:t xml:space="preserve">currently </w:t>
      </w:r>
      <w:r w:rsidR="00682873">
        <w:t>maintain a social order</w:t>
      </w:r>
      <w:r w:rsidR="00A558D3">
        <w:t xml:space="preserve"> around energy use</w:t>
      </w:r>
      <w:r w:rsidR="00E028AE">
        <w:t>.</w:t>
      </w:r>
      <w:r w:rsidR="00682873">
        <w:t xml:space="preserve"> We suggest that t</w:t>
      </w:r>
      <w:r w:rsidR="00A558D3">
        <w:t>his tension will become visible as</w:t>
      </w:r>
      <w:r w:rsidR="008978FD">
        <w:t xml:space="preserve"> existing social processes of attributing and assuming responsibility for energy use</w:t>
      </w:r>
      <w:r w:rsidR="00A558D3">
        <w:t xml:space="preserve"> as disrupted and new social orders are formed</w:t>
      </w:r>
      <w:r w:rsidR="008978FD">
        <w:t>.</w:t>
      </w:r>
    </w:p>
    <w:p w:rsidR="008978FD" w:rsidRDefault="00C94BEB" w:rsidP="00A558D3">
      <w:pPr>
        <w:pStyle w:val="Heading2"/>
        <w:rPr>
          <w:kern w:val="0"/>
          <w:lang w:val="en-GB"/>
        </w:rPr>
      </w:pPr>
      <w:r>
        <w:rPr>
          <w:kern w:val="0"/>
          <w:lang w:val="en-GB"/>
        </w:rPr>
        <w:t>EXAMPLE</w:t>
      </w:r>
      <w:r w:rsidR="008978FD">
        <w:rPr>
          <w:kern w:val="0"/>
          <w:lang w:val="en-GB"/>
        </w:rPr>
        <w:t xml:space="preserve"> –</w:t>
      </w:r>
      <w:r w:rsidR="00A558D3">
        <w:rPr>
          <w:kern w:val="0"/>
          <w:lang w:val="en-GB"/>
        </w:rPr>
        <w:t xml:space="preserve"> </w:t>
      </w:r>
      <w:r w:rsidR="008978FD">
        <w:rPr>
          <w:kern w:val="0"/>
          <w:lang w:val="en-GB"/>
        </w:rPr>
        <w:t xml:space="preserve">confrontation in </w:t>
      </w:r>
      <w:r w:rsidR="00A558D3">
        <w:rPr>
          <w:kern w:val="0"/>
          <w:lang w:val="en-GB"/>
        </w:rPr>
        <w:t xml:space="preserve">the </w:t>
      </w:r>
      <w:r w:rsidR="008978FD">
        <w:rPr>
          <w:kern w:val="0"/>
          <w:lang w:val="en-GB"/>
        </w:rPr>
        <w:t>home</w:t>
      </w:r>
    </w:p>
    <w:p w:rsidR="00552E53" w:rsidRDefault="00A558D3" w:rsidP="008978FD">
      <w:pPr>
        <w:rPr>
          <w:kern w:val="0"/>
          <w:lang w:val="en-GB"/>
        </w:rPr>
      </w:pPr>
      <w:r>
        <w:rPr>
          <w:kern w:val="0"/>
          <w:lang w:val="en-GB"/>
        </w:rPr>
        <w:t>In the majority of</w:t>
      </w:r>
      <w:r w:rsidR="00347779" w:rsidRPr="00347779">
        <w:rPr>
          <w:kern w:val="0"/>
          <w:lang w:val="en-GB"/>
        </w:rPr>
        <w:t xml:space="preserve"> home</w:t>
      </w:r>
      <w:r>
        <w:rPr>
          <w:kern w:val="0"/>
          <w:lang w:val="en-GB"/>
        </w:rPr>
        <w:t>s in the UK</w:t>
      </w:r>
      <w:r w:rsidR="00347779" w:rsidRPr="00347779">
        <w:rPr>
          <w:kern w:val="0"/>
          <w:lang w:val="en-GB"/>
        </w:rPr>
        <w:t xml:space="preserve"> the 'buck stops' with the bill payer</w:t>
      </w:r>
      <w:r>
        <w:rPr>
          <w:kern w:val="0"/>
          <w:lang w:val="en-GB"/>
        </w:rPr>
        <w:t xml:space="preserve">, who is responsible for the debt owed to the energy retailer following a period of </w:t>
      </w:r>
      <w:proofErr w:type="gramStart"/>
      <w:r>
        <w:rPr>
          <w:kern w:val="0"/>
          <w:lang w:val="en-GB"/>
        </w:rPr>
        <w:t>use.</w:t>
      </w:r>
      <w:proofErr w:type="gramEnd"/>
      <w:r>
        <w:rPr>
          <w:kern w:val="0"/>
          <w:lang w:val="en-GB"/>
        </w:rPr>
        <w:t xml:space="preserve"> It is increasingly common that this debt</w:t>
      </w:r>
      <w:r w:rsidR="00552E53">
        <w:rPr>
          <w:kern w:val="0"/>
          <w:lang w:val="en-GB"/>
        </w:rPr>
        <w:t xml:space="preserve"> is paid directly, regularly throughout the year, and so the financial implications</w:t>
      </w:r>
      <w:r w:rsidR="00347779" w:rsidRPr="00347779">
        <w:rPr>
          <w:kern w:val="0"/>
          <w:lang w:val="en-GB"/>
        </w:rPr>
        <w:t xml:space="preserve"> </w:t>
      </w:r>
      <w:r w:rsidR="00552E53">
        <w:rPr>
          <w:kern w:val="0"/>
          <w:lang w:val="en-GB"/>
        </w:rPr>
        <w:t xml:space="preserve">of individual acts of consumption in the home by individual members of the family are aggregated and temporally distant from the acts themselves. The automatic act of payment holds the bill payer accountable to the energy retailer. This </w:t>
      </w:r>
      <w:r w:rsidR="00347779" w:rsidRPr="00347779">
        <w:rPr>
          <w:kern w:val="0"/>
          <w:lang w:val="en-GB"/>
        </w:rPr>
        <w:t>bears little relation to the true model of energy consumption created by the individuals that inhabit a domestic environment; those that lie at the bottom of the social order</w:t>
      </w:r>
      <w:r w:rsidR="00552E53">
        <w:rPr>
          <w:kern w:val="0"/>
          <w:lang w:val="en-GB"/>
        </w:rPr>
        <w:t xml:space="preserve"> (e.g. children)</w:t>
      </w:r>
      <w:r w:rsidR="00347779" w:rsidRPr="00347779">
        <w:rPr>
          <w:kern w:val="0"/>
          <w:lang w:val="en-GB"/>
        </w:rPr>
        <w:t xml:space="preserve"> may well be the highest consumers of energy</w:t>
      </w:r>
      <w:r w:rsidR="00552E53">
        <w:rPr>
          <w:kern w:val="0"/>
          <w:lang w:val="en-GB"/>
        </w:rPr>
        <w:t>, yet not be held accountable.</w:t>
      </w:r>
      <w:r w:rsidR="005F783C">
        <w:rPr>
          <w:kern w:val="0"/>
          <w:lang w:val="en-GB"/>
        </w:rPr>
        <w:t xml:space="preserve"> In this case, the bill payer ensures access for the household to a service to which they are entitled.</w:t>
      </w:r>
    </w:p>
    <w:p w:rsidR="00E9320C" w:rsidRPr="00C94BEB" w:rsidRDefault="00347779" w:rsidP="00BB5733">
      <w:pPr>
        <w:rPr>
          <w:kern w:val="0"/>
          <w:lang w:val="en-GB"/>
        </w:rPr>
      </w:pPr>
      <w:r w:rsidRPr="00347779">
        <w:rPr>
          <w:kern w:val="0"/>
          <w:lang w:val="en-GB"/>
        </w:rPr>
        <w:t xml:space="preserve">The introduction of </w:t>
      </w:r>
      <w:r w:rsidR="00552E53">
        <w:rPr>
          <w:kern w:val="0"/>
          <w:lang w:val="en-GB"/>
        </w:rPr>
        <w:t>domestic energy monitoring drastically alters the social order, providing hard evidence for the accountability of previously “anonymous” individual family members to the bill payer. Where leeway may have been given previously in favour of maintaining social harmony, disparities within the social order are now quantified</w:t>
      </w:r>
      <w:r w:rsidR="005F783C">
        <w:rPr>
          <w:kern w:val="0"/>
          <w:lang w:val="en-GB"/>
        </w:rPr>
        <w:t xml:space="preserve"> and placed within a stark frame of reference, encouraging direct confrontation</w:t>
      </w:r>
      <w:r w:rsidR="00552E53">
        <w:rPr>
          <w:kern w:val="0"/>
          <w:lang w:val="en-GB"/>
        </w:rPr>
        <w:t>.</w:t>
      </w:r>
      <w:r w:rsidR="005F783C">
        <w:rPr>
          <w:kern w:val="0"/>
          <w:lang w:val="en-GB"/>
        </w:rPr>
        <w:t xml:space="preserve"> Contention over responsibility for the financial implications of personal use frames energy in this scenario as a resource.</w:t>
      </w:r>
    </w:p>
    <w:p w:rsidR="00E9320C" w:rsidRDefault="005F783C" w:rsidP="005F783C">
      <w:pPr>
        <w:pStyle w:val="Heading1"/>
      </w:pPr>
      <w:r>
        <w:t>Implications</w:t>
      </w:r>
    </w:p>
    <w:p w:rsidR="00C94BEB" w:rsidRDefault="00C94BEB" w:rsidP="00C94BEB">
      <w:pPr>
        <w:rPr>
          <w:kern w:val="0"/>
          <w:lang w:val="en-GB"/>
        </w:rPr>
      </w:pPr>
      <w:r>
        <w:rPr>
          <w:kern w:val="0"/>
          <w:lang w:val="en-GB"/>
        </w:rPr>
        <w:t xml:space="preserve">The example given above is a dark scenario that illustrates one possible side of the story of the introduction of a network of energy monitoring technologies. We can imagine other dark twists to this story: too much faith in the veracity of energy monitoring technologies </w:t>
      </w:r>
      <w:r w:rsidR="008978FD">
        <w:rPr>
          <w:kern w:val="0"/>
          <w:lang w:val="en-GB"/>
        </w:rPr>
        <w:t>risk</w:t>
      </w:r>
      <w:r>
        <w:rPr>
          <w:kern w:val="0"/>
          <w:lang w:val="en-GB"/>
        </w:rPr>
        <w:t>s</w:t>
      </w:r>
      <w:r w:rsidR="008978FD">
        <w:rPr>
          <w:kern w:val="0"/>
          <w:lang w:val="en-GB"/>
        </w:rPr>
        <w:t xml:space="preserve"> </w:t>
      </w:r>
      <w:proofErr w:type="spellStart"/>
      <w:r w:rsidR="008978FD">
        <w:rPr>
          <w:kern w:val="0"/>
          <w:lang w:val="en-GB"/>
        </w:rPr>
        <w:t>decontextualising</w:t>
      </w:r>
      <w:proofErr w:type="spellEnd"/>
      <w:r w:rsidR="008978FD">
        <w:rPr>
          <w:kern w:val="0"/>
          <w:lang w:val="en-GB"/>
        </w:rPr>
        <w:t xml:space="preserve"> energy </w:t>
      </w:r>
      <w:r>
        <w:rPr>
          <w:kern w:val="0"/>
          <w:lang w:val="en-GB"/>
        </w:rPr>
        <w:t>consumption which</w:t>
      </w:r>
      <w:r w:rsidR="008978FD">
        <w:rPr>
          <w:kern w:val="0"/>
          <w:lang w:val="en-GB"/>
        </w:rPr>
        <w:t xml:space="preserve"> may lead to false accusations of wastefulness, for example, if the </w:t>
      </w:r>
      <w:r>
        <w:rPr>
          <w:kern w:val="0"/>
          <w:lang w:val="en-GB"/>
        </w:rPr>
        <w:t>one family member uses a disproportionate amount of energy performing favours to aid other members of the family</w:t>
      </w:r>
      <w:r w:rsidR="008978FD">
        <w:rPr>
          <w:kern w:val="0"/>
          <w:lang w:val="en-GB"/>
        </w:rPr>
        <w:t>.</w:t>
      </w:r>
    </w:p>
    <w:p w:rsidR="0089783D" w:rsidRDefault="00C94BEB" w:rsidP="0089783D">
      <w:pPr>
        <w:rPr>
          <w:kern w:val="0"/>
          <w:lang w:val="en-GB"/>
        </w:rPr>
      </w:pPr>
      <w:r>
        <w:rPr>
          <w:kern w:val="0"/>
          <w:lang w:val="en-GB"/>
        </w:rPr>
        <w:t>Apprehension of the disruption these technologies might introduce could well form a barrier to their acceptance</w:t>
      </w:r>
      <w:r w:rsidR="003E2F8B">
        <w:rPr>
          <w:kern w:val="0"/>
          <w:lang w:val="en-GB"/>
        </w:rPr>
        <w:t xml:space="preserve">, yet there are many positive implications to their introduction. </w:t>
      </w:r>
      <w:r w:rsidR="005847E8">
        <w:rPr>
          <w:kern w:val="0"/>
          <w:lang w:val="en-GB"/>
        </w:rPr>
        <w:t>Existing research</w:t>
      </w:r>
      <w:r w:rsidR="003E2F8B">
        <w:rPr>
          <w:kern w:val="0"/>
          <w:lang w:val="en-GB"/>
        </w:rPr>
        <w:t xml:space="preserve"> in persuasive HCI</w:t>
      </w:r>
      <w:r w:rsidR="005847E8">
        <w:rPr>
          <w:kern w:val="0"/>
          <w:lang w:val="en-GB"/>
        </w:rPr>
        <w:t xml:space="preserve"> has sought to</w:t>
      </w:r>
      <w:r w:rsidR="003E2F8B">
        <w:rPr>
          <w:kern w:val="0"/>
          <w:lang w:val="en-GB"/>
        </w:rPr>
        <w:t xml:space="preserve"> minimise the discomfort of disruptions of social order by</w:t>
      </w:r>
      <w:r w:rsidR="005847E8">
        <w:rPr>
          <w:kern w:val="0"/>
          <w:lang w:val="en-GB"/>
        </w:rPr>
        <w:t xml:space="preserve"> refram</w:t>
      </w:r>
      <w:r w:rsidR="003E2F8B">
        <w:rPr>
          <w:kern w:val="0"/>
          <w:lang w:val="en-GB"/>
        </w:rPr>
        <w:t>ing</w:t>
      </w:r>
      <w:r w:rsidR="005847E8">
        <w:rPr>
          <w:kern w:val="0"/>
          <w:lang w:val="en-GB"/>
        </w:rPr>
        <w:t xml:space="preserve"> </w:t>
      </w:r>
      <w:r w:rsidR="003E2F8B">
        <w:rPr>
          <w:kern w:val="0"/>
          <w:lang w:val="en-GB"/>
        </w:rPr>
        <w:t>such</w:t>
      </w:r>
      <w:r w:rsidR="005847E8">
        <w:rPr>
          <w:kern w:val="0"/>
          <w:lang w:val="en-GB"/>
        </w:rPr>
        <w:t xml:space="preserve"> intervention</w:t>
      </w:r>
      <w:r w:rsidR="003E2F8B">
        <w:rPr>
          <w:kern w:val="0"/>
          <w:lang w:val="en-GB"/>
        </w:rPr>
        <w:t>s as</w:t>
      </w:r>
      <w:r w:rsidR="005847E8">
        <w:rPr>
          <w:kern w:val="0"/>
          <w:lang w:val="en-GB"/>
        </w:rPr>
        <w:t xml:space="preserve"> positive experience</w:t>
      </w:r>
      <w:r w:rsidR="003E2F8B">
        <w:rPr>
          <w:kern w:val="0"/>
          <w:lang w:val="en-GB"/>
        </w:rPr>
        <w:t>s</w:t>
      </w:r>
      <w:r w:rsidR="005847E8">
        <w:rPr>
          <w:kern w:val="0"/>
          <w:lang w:val="en-GB"/>
        </w:rPr>
        <w:t xml:space="preserve"> </w:t>
      </w:r>
      <w:r w:rsidR="003E2F8B">
        <w:rPr>
          <w:kern w:val="0"/>
          <w:lang w:val="en-GB"/>
        </w:rPr>
        <w:t>that enable</w:t>
      </w:r>
      <w:r w:rsidR="005847E8">
        <w:rPr>
          <w:kern w:val="0"/>
          <w:lang w:val="en-GB"/>
        </w:rPr>
        <w:t xml:space="preserve"> </w:t>
      </w:r>
      <w:r w:rsidR="00C23186">
        <w:rPr>
          <w:kern w:val="0"/>
          <w:lang w:val="en-GB"/>
        </w:rPr>
        <w:t>proactive responses</w:t>
      </w:r>
      <w:r w:rsidR="00C31FD6">
        <w:rPr>
          <w:noProof/>
          <w:kern w:val="0"/>
          <w:lang w:val="en-GB"/>
        </w:rPr>
        <w:t xml:space="preserve"> [2]</w:t>
      </w:r>
      <w:r w:rsidR="005847E8">
        <w:rPr>
          <w:kern w:val="0"/>
          <w:lang w:val="en-GB"/>
        </w:rPr>
        <w:t xml:space="preserve">, e.g. encouraging family members to trade energy “resource” </w:t>
      </w:r>
      <w:r w:rsidR="00C31FD6">
        <w:rPr>
          <w:noProof/>
          <w:kern w:val="0"/>
          <w:lang w:val="en-GB"/>
        </w:rPr>
        <w:t>[6]</w:t>
      </w:r>
      <w:r w:rsidR="005847E8">
        <w:rPr>
          <w:kern w:val="0"/>
          <w:lang w:val="en-GB"/>
        </w:rPr>
        <w:t>, rather than as an opportunity for the apportionment of blame.</w:t>
      </w:r>
    </w:p>
    <w:p w:rsidR="00C23186" w:rsidRDefault="00C23186" w:rsidP="0089783D">
      <w:pPr>
        <w:rPr>
          <w:kern w:val="0"/>
          <w:lang w:val="en-GB"/>
        </w:rPr>
      </w:pPr>
      <w:r>
        <w:rPr>
          <w:kern w:val="0"/>
          <w:lang w:val="en-GB"/>
        </w:rPr>
        <w:t>In workplace scenarios where organisational structures or cultures have become deeply embedded, exposing accountability of individuals or groups</w:t>
      </w:r>
      <w:r w:rsidR="0089783D">
        <w:rPr>
          <w:kern w:val="0"/>
          <w:lang w:val="en-GB"/>
        </w:rPr>
        <w:t xml:space="preserve"> for their energy practices </w:t>
      </w:r>
      <w:r>
        <w:rPr>
          <w:kern w:val="0"/>
          <w:lang w:val="en-GB"/>
        </w:rPr>
        <w:t>may provide a useful platform for invigoration of the workplace with new social dynamics.</w:t>
      </w:r>
    </w:p>
    <w:p w:rsidR="0089783D" w:rsidRDefault="00AC2794" w:rsidP="0089783D">
      <w:pPr>
        <w:rPr>
          <w:kern w:val="0"/>
          <w:lang w:val="en-GB"/>
        </w:rPr>
      </w:pPr>
      <w:r>
        <w:rPr>
          <w:kern w:val="0"/>
          <w:lang w:val="en-GB"/>
        </w:rPr>
        <w:t>The wider connectedness provided by future energy monitoring infrastructures (and the Internet of Things in general) also allows behaviour typically contained within the home, workplace or public place to be re</w:t>
      </w:r>
      <w:r w:rsidR="0089783D">
        <w:rPr>
          <w:kern w:val="0"/>
          <w:lang w:val="en-GB"/>
        </w:rPr>
        <w:t>frame</w:t>
      </w:r>
      <w:r>
        <w:rPr>
          <w:kern w:val="0"/>
          <w:lang w:val="en-GB"/>
        </w:rPr>
        <w:t xml:space="preserve">d in a wider context, allowing </w:t>
      </w:r>
      <w:r w:rsidR="0089783D">
        <w:rPr>
          <w:kern w:val="0"/>
          <w:lang w:val="en-GB"/>
        </w:rPr>
        <w:t xml:space="preserve">social entities </w:t>
      </w:r>
      <w:r>
        <w:rPr>
          <w:kern w:val="0"/>
          <w:lang w:val="en-GB"/>
        </w:rPr>
        <w:t>to compare and share</w:t>
      </w:r>
      <w:r w:rsidR="0089783D">
        <w:rPr>
          <w:kern w:val="0"/>
          <w:lang w:val="en-GB"/>
        </w:rPr>
        <w:t xml:space="preserve"> their energy practices beyond the physical and normative boundaries of the organisation or the immediate social surrounding in which the individual</w:t>
      </w:r>
      <w:r>
        <w:rPr>
          <w:kern w:val="0"/>
          <w:lang w:val="en-GB"/>
        </w:rPr>
        <w:t>s</w:t>
      </w:r>
      <w:r w:rsidR="0089783D">
        <w:rPr>
          <w:kern w:val="0"/>
          <w:lang w:val="en-GB"/>
        </w:rPr>
        <w:t xml:space="preserve"> </w:t>
      </w:r>
      <w:r>
        <w:rPr>
          <w:kern w:val="0"/>
          <w:lang w:val="en-GB"/>
        </w:rPr>
        <w:t>are</w:t>
      </w:r>
      <w:r w:rsidR="0089783D">
        <w:rPr>
          <w:kern w:val="0"/>
          <w:lang w:val="en-GB"/>
        </w:rPr>
        <w:t xml:space="preserve"> embedded in.</w:t>
      </w:r>
      <w:r>
        <w:rPr>
          <w:kern w:val="0"/>
          <w:lang w:val="en-GB"/>
        </w:rPr>
        <w:t xml:space="preserve"> This widening of frame is vital to reduce the psychological distance between energy consumers and the global dilemmas – climate change, energy scarcity, and so on - resulting directly from our collective overuse of fossil fuels.</w:t>
      </w:r>
    </w:p>
    <w:p w:rsidR="008978FD" w:rsidRPr="00AC2794" w:rsidRDefault="008978FD" w:rsidP="00AC2794">
      <w:pPr>
        <w:pStyle w:val="Heading1"/>
        <w:rPr>
          <w:kern w:val="0"/>
          <w:lang w:val="en-GB"/>
        </w:rPr>
      </w:pPr>
      <w:r>
        <w:rPr>
          <w:kern w:val="0"/>
          <w:lang w:val="en-GB"/>
        </w:rPr>
        <w:t>C</w:t>
      </w:r>
      <w:r w:rsidR="00AC2794">
        <w:rPr>
          <w:kern w:val="0"/>
          <w:lang w:val="en-GB"/>
        </w:rPr>
        <w:t>onclusion</w:t>
      </w:r>
    </w:p>
    <w:p w:rsidR="00983937" w:rsidRDefault="00C9795A" w:rsidP="005E091B">
      <w:r>
        <w:t xml:space="preserve">In this position paper we have </w:t>
      </w:r>
      <w:r w:rsidR="002232F5">
        <w:t>stated that imminent ubiquitous energy monitoring infrastructures will form a significant part of the Internet of Things</w:t>
      </w:r>
      <w:r w:rsidR="008B4835">
        <w:t xml:space="preserve">. While our </w:t>
      </w:r>
      <w:r w:rsidR="00983937">
        <w:t>ongoing research considers the practicalities of deploying and maintaining such infrastructures, as well as the nature and representations of data that these infrastructures might produce, we find the issue of how energy monitoring (in the form it is most commonly proposed) will disrupt social order highly compelling.</w:t>
      </w:r>
    </w:p>
    <w:p w:rsidR="008B4835" w:rsidRDefault="008B4835" w:rsidP="008B4835">
      <w:r>
        <w:t>We believe that it is important to begin discussions</w:t>
      </w:r>
      <w:r w:rsidR="009D7327">
        <w:t xml:space="preserve"> in the HCI community</w:t>
      </w:r>
      <w:r>
        <w:t xml:space="preserve"> that raise the significance of the tension between the existing practices of managing and understanding energy use in the home, workplace and public space, and the information that will be revealed (and responsibility that will be apportioned) through the intervention of future energy monitoring infrastructures into our daily lives.</w:t>
      </w:r>
      <w:r w:rsidR="009D7327">
        <w:t xml:space="preserve"> In particular we find the potential change in consumer perception from energy as a personal right to a contentious resource to be significant.</w:t>
      </w:r>
    </w:p>
    <w:p w:rsidR="009D7327" w:rsidRDefault="008B4835" w:rsidP="00983937">
      <w:r>
        <w:t>Correctly harnessed, i</w:t>
      </w:r>
      <w:r w:rsidR="00983937">
        <w:t xml:space="preserve">ntervention to cause disruption to established social order is an effective mechanism for encouraging </w:t>
      </w:r>
      <w:proofErr w:type="spellStart"/>
      <w:r w:rsidR="00983937">
        <w:t>behaviour</w:t>
      </w:r>
      <w:proofErr w:type="spellEnd"/>
      <w:r w:rsidR="00983937">
        <w:t xml:space="preserve"> change and </w:t>
      </w:r>
      <w:r>
        <w:t xml:space="preserve">beneficial </w:t>
      </w:r>
      <w:r w:rsidR="00983937">
        <w:t xml:space="preserve">reorganization of social structure. We have begun to draw on existing literature within the HCI community and elsewhere to consider both the benefits of disrupting social order, particularly where </w:t>
      </w:r>
      <w:r w:rsidR="009D7327">
        <w:t xml:space="preserve">energy consumption </w:t>
      </w:r>
      <w:proofErr w:type="spellStart"/>
      <w:r w:rsidR="00983937">
        <w:t>behaviour</w:t>
      </w:r>
      <w:proofErr w:type="spellEnd"/>
      <w:r w:rsidR="00983937">
        <w:t xml:space="preserve"> change is a goal, and the negative implications that we might hope to neutralize or a</w:t>
      </w:r>
      <w:r>
        <w:t>void through considered design.</w:t>
      </w:r>
    </w:p>
    <w:p w:rsidR="009D7327" w:rsidRDefault="009D7327" w:rsidP="009D7327">
      <w:pPr>
        <w:pStyle w:val="Heading1"/>
      </w:pPr>
      <w:r>
        <w:t>Acknowledgements</w:t>
      </w:r>
    </w:p>
    <w:p w:rsidR="008B4835" w:rsidRPr="009D7327" w:rsidRDefault="009D7327" w:rsidP="009D7327">
      <w:r>
        <w:t xml:space="preserve">Ben </w:t>
      </w:r>
      <w:proofErr w:type="spellStart"/>
      <w:r>
        <w:t>Bedwell</w:t>
      </w:r>
      <w:proofErr w:type="spellEnd"/>
      <w:r>
        <w:t xml:space="preserve"> is supported by the RCUK Horizon Digital Economy Research grant (EP/G065802/1).</w:t>
      </w:r>
    </w:p>
    <w:p w:rsidR="008B4835" w:rsidRDefault="009D7327">
      <w:pPr>
        <w:pStyle w:val="Heading1"/>
      </w:pPr>
      <w:r>
        <w:t>References</w:t>
      </w:r>
    </w:p>
    <w:sdt>
      <w:sdtPr>
        <w:id w:val="111145805"/>
        <w:bibliography/>
      </w:sdtPr>
      <w:sdtEndPr>
        <w:rPr>
          <w:kern w:val="18"/>
        </w:rPr>
      </w:sdtEndPr>
      <w:sdtContent>
        <w:p w:rsidR="00C31FD6" w:rsidRDefault="00C31FD6" w:rsidP="00C31FD6">
          <w:pPr>
            <w:pStyle w:val="References"/>
            <w:rPr>
              <w:noProof/>
            </w:rPr>
          </w:pPr>
          <w:r>
            <w:rPr>
              <w:noProof/>
            </w:rPr>
            <w:t xml:space="preserve">Bentley, R. W. (2002). Global oil &amp; gas depletion: an overview. </w:t>
          </w:r>
          <w:r>
            <w:rPr>
              <w:i/>
              <w:noProof/>
            </w:rPr>
            <w:t>Energy Policy</w:t>
          </w:r>
          <w:r>
            <w:rPr>
              <w:noProof/>
            </w:rPr>
            <w:t xml:space="preserve"> (30).</w:t>
          </w:r>
        </w:p>
        <w:p w:rsidR="00C31FD6" w:rsidRDefault="00C31FD6" w:rsidP="00C31FD6">
          <w:pPr>
            <w:pStyle w:val="References"/>
            <w:rPr>
              <w:noProof/>
            </w:rPr>
          </w:pPr>
          <w:r>
            <w:rPr>
              <w:noProof/>
            </w:rPr>
            <w:t xml:space="preserve">Bird, J., &amp; Rogers, Y. (2010). The Pulse of Tidy Street: Measuring and Publicly Displaying Domestic Electricity Consumption. </w:t>
          </w:r>
          <w:r w:rsidRPr="00C31FD6">
            <w:rPr>
              <w:i/>
              <w:noProof/>
            </w:rPr>
            <w:t>Workshop on Energy Awareness and Conservation through Pervasive Applications at Pervasive.</w:t>
          </w:r>
          <w:r>
            <w:rPr>
              <w:noProof/>
            </w:rPr>
            <w:t xml:space="preserve"> </w:t>
          </w:r>
        </w:p>
        <w:p w:rsidR="00C31FD6" w:rsidRDefault="00C31FD6" w:rsidP="00C31FD6">
          <w:pPr>
            <w:pStyle w:val="References"/>
            <w:rPr>
              <w:noProof/>
            </w:rPr>
          </w:pPr>
          <w:r>
            <w:rPr>
              <w:noProof/>
            </w:rPr>
            <w:t xml:space="preserve">Department of Energy and Climate Change. (2009). </w:t>
          </w:r>
          <w:r w:rsidRPr="00C31FD6">
            <w:rPr>
              <w:i/>
              <w:noProof/>
            </w:rPr>
            <w:t>Towards a smarter future: government response to the consultation on electricity and gas smart metering.</w:t>
          </w:r>
          <w:r>
            <w:rPr>
              <w:noProof/>
            </w:rPr>
            <w:t xml:space="preserve"> Department of Energy and Climate Change, Smart Metering Team.</w:t>
          </w:r>
        </w:p>
        <w:p w:rsidR="00C31FD6" w:rsidRDefault="00C31FD6" w:rsidP="00C31FD6">
          <w:pPr>
            <w:pStyle w:val="References"/>
            <w:rPr>
              <w:noProof/>
            </w:rPr>
          </w:pPr>
          <w:r>
            <w:rPr>
              <w:noProof/>
            </w:rPr>
            <w:t xml:space="preserve">DiSalvo, C., Sengers, P., &amp; Brynjarsdóttir, H. (2010). Mapping the Landscape of Sustainable HCI. </w:t>
          </w:r>
          <w:r w:rsidRPr="00C31FD6">
            <w:rPr>
              <w:i/>
              <w:noProof/>
            </w:rPr>
            <w:t>Human factors in computing systems.</w:t>
          </w:r>
          <w:r>
            <w:rPr>
              <w:noProof/>
            </w:rPr>
            <w:t xml:space="preserve"> ACM.</w:t>
          </w:r>
        </w:p>
        <w:p w:rsidR="00C31FD6" w:rsidRDefault="00C31FD6" w:rsidP="00C31FD6">
          <w:pPr>
            <w:pStyle w:val="References"/>
            <w:rPr>
              <w:noProof/>
            </w:rPr>
          </w:pPr>
          <w:r>
            <w:rPr>
              <w:noProof/>
            </w:rPr>
            <w:t xml:space="preserve">Energy Watch Group. (2007). </w:t>
          </w:r>
          <w:r w:rsidRPr="00C31FD6">
            <w:rPr>
              <w:i/>
              <w:noProof/>
            </w:rPr>
            <w:t>Coal: Resources and Future Production.</w:t>
          </w:r>
          <w:r>
            <w:rPr>
              <w:noProof/>
            </w:rPr>
            <w:t xml:space="preserve"> </w:t>
          </w:r>
        </w:p>
        <w:p w:rsidR="00C31FD6" w:rsidRDefault="00C31FD6" w:rsidP="00C31FD6">
          <w:pPr>
            <w:pStyle w:val="References"/>
            <w:rPr>
              <w:noProof/>
            </w:rPr>
          </w:pPr>
          <w:r>
            <w:rPr>
              <w:noProof/>
            </w:rPr>
            <w:t xml:space="preserve">Shrubsole, P., Lavrysen, T., Janse, M., &amp; Weda, H. (2011). Flo: raising family awareness about electricity use. </w:t>
          </w:r>
          <w:r w:rsidRPr="00C31FD6">
            <w:rPr>
              <w:i/>
              <w:noProof/>
            </w:rPr>
            <w:t>Human factors in computing systems.</w:t>
          </w:r>
          <w:r>
            <w:rPr>
              <w:noProof/>
            </w:rPr>
            <w:t xml:space="preserve"> ACM.</w:t>
          </w:r>
        </w:p>
        <w:p w:rsidR="00C31FD6" w:rsidRDefault="00C31FD6" w:rsidP="00C31FD6">
          <w:pPr>
            <w:pStyle w:val="References"/>
            <w:rPr>
              <w:noProof/>
            </w:rPr>
          </w:pPr>
          <w:r>
            <w:rPr>
              <w:noProof/>
            </w:rPr>
            <w:t xml:space="preserve">Sorrell, S., Speirs, J., Bentley, R., &amp; Bran, A. (2009). </w:t>
          </w:r>
          <w:r w:rsidRPr="00C31FD6">
            <w:rPr>
              <w:i/>
              <w:noProof/>
            </w:rPr>
            <w:t>Global Oil Depletion.</w:t>
          </w:r>
          <w:r>
            <w:rPr>
              <w:noProof/>
            </w:rPr>
            <w:t xml:space="preserve"> UK Energy Research Centre, Technology and Policy Assessment.</w:t>
          </w:r>
        </w:p>
        <w:p w:rsidR="00C31FD6" w:rsidRDefault="00C31FD6" w:rsidP="00C31FD6">
          <w:pPr>
            <w:pStyle w:val="References"/>
            <w:rPr>
              <w:noProof/>
            </w:rPr>
          </w:pPr>
          <w:r>
            <w:rPr>
              <w:noProof/>
            </w:rPr>
            <w:t xml:space="preserve">Strengers, Y. (2011). Designing eco-feedback systems for everyday life. </w:t>
          </w:r>
          <w:r w:rsidRPr="00C31FD6">
            <w:rPr>
              <w:i/>
              <w:noProof/>
            </w:rPr>
            <w:t>Human factors in computing systems.</w:t>
          </w:r>
          <w:r>
            <w:rPr>
              <w:noProof/>
            </w:rPr>
            <w:t xml:space="preserve"> ACM.</w:t>
          </w:r>
        </w:p>
        <w:p w:rsidR="008B4835" w:rsidRDefault="008B4835"/>
      </w:sdtContent>
    </w:sdt>
    <w:p w:rsidR="008B4835" w:rsidRDefault="008B4835" w:rsidP="00983937"/>
    <w:p w:rsidR="00544FB4" w:rsidRDefault="00544FB4" w:rsidP="00544FB4">
      <w:pPr>
        <w:pStyle w:val="References"/>
        <w:numPr>
          <w:ilvl w:val="0"/>
          <w:numId w:val="0"/>
        </w:numPr>
        <w:ind w:left="-270"/>
        <w:sectPr w:rsidR="00544FB4">
          <w:headerReference w:type="default" r:id="rId10"/>
          <w:type w:val="continuous"/>
          <w:pgSz w:w="15840" w:h="12240" w:orient="landscape" w:code="1"/>
          <w:pgMar w:top="2330" w:right="1530" w:bottom="1170" w:left="3960" w:header="994" w:gutter="0"/>
          <w:cols w:num="2"/>
        </w:sectPr>
      </w:pPr>
    </w:p>
    <w:p w:rsidR="00544FB4" w:rsidRDefault="00544FB4" w:rsidP="00544FB4">
      <w:pPr>
        <w:pStyle w:val="References"/>
        <w:numPr>
          <w:ilvl w:val="0"/>
          <w:numId w:val="0"/>
        </w:numPr>
      </w:pPr>
    </w:p>
    <w:sectPr w:rsidR="00544FB4" w:rsidSect="0026353D">
      <w:type w:val="continuous"/>
      <w:pgSz w:w="15840" w:h="12240" w:orient="landscape" w:code="1"/>
      <w:pgMar w:top="2330" w:right="1530" w:bottom="1170" w:left="3960" w:header="994" w:gutter="0"/>
      <w:cols w:num="2"/>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FD6" w:rsidRDefault="00C31FD6">
      <w:pPr>
        <w:spacing w:after="0" w:line="240" w:lineRule="auto"/>
      </w:pPr>
      <w:r>
        <w:separator/>
      </w:r>
    </w:p>
  </w:endnote>
  <w:endnote w:type="continuationSeparator" w:id="0">
    <w:p w:rsidR="00C31FD6" w:rsidRDefault="00C31F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FD6" w:rsidRDefault="00C31FD6">
      <w:pPr>
        <w:spacing w:after="0" w:line="240" w:lineRule="auto"/>
      </w:pPr>
      <w:r>
        <w:separator/>
      </w:r>
    </w:p>
  </w:footnote>
  <w:footnote w:type="continuationSeparator" w:id="0">
    <w:p w:rsidR="00C31FD6" w:rsidRDefault="00C31FD6">
      <w:pPr>
        <w:spacing w:after="0" w:line="240" w:lineRule="auto"/>
      </w:pPr>
      <w:r>
        <w:continuationSeparator/>
      </w:r>
    </w:p>
  </w:footnote>
  <w:footnote w:id="1">
    <w:p w:rsidR="00C31FD6" w:rsidRDefault="00C31FD6">
      <w:pPr>
        <w:pStyle w:val="FootnoteText"/>
      </w:pPr>
      <w:r>
        <w:rPr>
          <w:rStyle w:val="FootnoteReference"/>
        </w:rPr>
        <w:footnoteRef/>
      </w:r>
      <w:r>
        <w:t xml:space="preserve"> </w:t>
      </w:r>
      <w:r w:rsidRPr="00A932E3">
        <w:t>http://www.currentcost.com/</w:t>
      </w:r>
    </w:p>
  </w:footnote>
  <w:footnote w:id="2">
    <w:p w:rsidR="00C31FD6" w:rsidRDefault="00C31FD6">
      <w:pPr>
        <w:pStyle w:val="FootnoteText"/>
      </w:pPr>
      <w:r>
        <w:rPr>
          <w:rStyle w:val="FootnoteReference"/>
        </w:rPr>
        <w:footnoteRef/>
      </w:r>
      <w:r>
        <w:t xml:space="preserve"> http://www.theowl</w:t>
      </w:r>
      <w:r w:rsidRPr="00A932E3">
        <w:t>.com/</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FD6" w:rsidRDefault="00C31FD6">
    <w:pPr>
      <w:tabs>
        <w:tab w:val="right" w:pos="10080"/>
      </w:tabs>
      <w:rPr>
        <w:rStyle w:val="PageNumber"/>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FD6" w:rsidRDefault="00C31FD6">
    <w:pPr>
      <w:pStyle w:val="Header"/>
      <w:tabs>
        <w:tab w:val="clear" w:pos="10080"/>
        <w:tab w:val="right" w:pos="10170"/>
      </w:tabs>
      <w:ind w:left="0"/>
    </w:pPr>
    <w:r>
      <w:rPr>
        <w:rStyle w:val="PageNumber"/>
      </w:rPr>
      <w:tab/>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FD6" w:rsidRDefault="00C31FD6">
    <w:pPr>
      <w:pStyle w:val="Header"/>
      <w:tabs>
        <w:tab w:val="clear" w:pos="10080"/>
        <w:tab w:val="right" w:pos="10170"/>
      </w:tabs>
      <w:ind w:left="0"/>
    </w:pPr>
    <w:r>
      <w:rPr>
        <w:rStyle w:val="PageNumber"/>
      </w:rPr>
      <w:tab/>
    </w:r>
    <w:r>
      <w:rPr>
        <w:rStyle w:val="PageNumber"/>
      </w:rPr>
      <w:fldChar w:fldCharType="begin"/>
    </w:r>
    <w:r>
      <w:rPr>
        <w:rStyle w:val="PageNumber"/>
      </w:rPr>
      <w:instrText xml:space="preserve"> PAGE </w:instrText>
    </w:r>
    <w:r>
      <w:rPr>
        <w:rStyle w:val="PageNumber"/>
      </w:rPr>
      <w:fldChar w:fldCharType="separate"/>
    </w:r>
    <w:r w:rsidR="009D7327">
      <w:rPr>
        <w:rStyle w:val="PageNumber"/>
        <w:noProof/>
      </w:rPr>
      <w:t>2</w:t>
    </w:r>
    <w:r>
      <w:rPr>
        <w:rStyle w:val="PageNumber"/>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050E05C"/>
    <w:lvl w:ilvl="0">
      <w:numFmt w:val="decimal"/>
      <w:lvlText w:val="*"/>
      <w:lvlJc w:val="left"/>
    </w:lvl>
  </w:abstractNum>
  <w:abstractNum w:abstractNumId="1">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2">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3">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4">
    <w:nsid w:val="5A0A036E"/>
    <w:multiLevelType w:val="singleLevel"/>
    <w:tmpl w:val="61E616DA"/>
    <w:lvl w:ilvl="0">
      <w:start w:val="1"/>
      <w:numFmt w:val="decimal"/>
      <w:lvlText w:val="%1."/>
      <w:legacy w:legacy="1" w:legacySpace="0" w:legacyIndent="144"/>
      <w:lvlJc w:val="left"/>
      <w:pPr>
        <w:ind w:left="144" w:hanging="144"/>
      </w:pPr>
    </w:lvl>
  </w:abstractNum>
  <w:abstractNum w:abstractNumId="5">
    <w:nsid w:val="5BB151A4"/>
    <w:multiLevelType w:val="multilevel"/>
    <w:tmpl w:val="0F962DDA"/>
    <w:lvl w:ilvl="0">
      <w:start w:val="1"/>
      <w:numFmt w:val="decimal"/>
      <w:pStyle w:val="References"/>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6">
    <w:nsid w:val="63191135"/>
    <w:multiLevelType w:val="hybridMultilevel"/>
    <w:tmpl w:val="6138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8">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9">
    <w:nsid w:val="7611432E"/>
    <w:multiLevelType w:val="hybridMultilevel"/>
    <w:tmpl w:val="1C30DD6E"/>
    <w:lvl w:ilvl="0" w:tplc="12DCECFA">
      <w:start w:val="1"/>
      <w:numFmt w:val="bullet"/>
      <w:lvlText w:val=""/>
      <w:lvlJc w:val="left"/>
      <w:pPr>
        <w:tabs>
          <w:tab w:val="num" w:pos="2880"/>
        </w:tabs>
        <w:ind w:left="2880" w:hanging="360"/>
      </w:pPr>
      <w:rPr>
        <w:rFonts w:ascii="Symbol" w:hAnsi="Symbol" w:hint="default"/>
      </w:rPr>
    </w:lvl>
    <w:lvl w:ilvl="1" w:tplc="EAA2F3D6" w:tentative="1">
      <w:start w:val="1"/>
      <w:numFmt w:val="bullet"/>
      <w:lvlText w:val="o"/>
      <w:lvlJc w:val="left"/>
      <w:pPr>
        <w:tabs>
          <w:tab w:val="num" w:pos="3600"/>
        </w:tabs>
        <w:ind w:left="3600" w:hanging="360"/>
      </w:pPr>
      <w:rPr>
        <w:rFonts w:ascii="Courier New" w:hAnsi="Courier New" w:hint="default"/>
      </w:rPr>
    </w:lvl>
    <w:lvl w:ilvl="2" w:tplc="DE201804" w:tentative="1">
      <w:start w:val="1"/>
      <w:numFmt w:val="bullet"/>
      <w:lvlText w:val=""/>
      <w:lvlJc w:val="left"/>
      <w:pPr>
        <w:tabs>
          <w:tab w:val="num" w:pos="4320"/>
        </w:tabs>
        <w:ind w:left="4320" w:hanging="360"/>
      </w:pPr>
      <w:rPr>
        <w:rFonts w:ascii="Wingdings" w:hAnsi="Wingdings" w:hint="default"/>
      </w:rPr>
    </w:lvl>
    <w:lvl w:ilvl="3" w:tplc="A90CD13E" w:tentative="1">
      <w:start w:val="1"/>
      <w:numFmt w:val="bullet"/>
      <w:lvlText w:val=""/>
      <w:lvlJc w:val="left"/>
      <w:pPr>
        <w:tabs>
          <w:tab w:val="num" w:pos="5040"/>
        </w:tabs>
        <w:ind w:left="5040" w:hanging="360"/>
      </w:pPr>
      <w:rPr>
        <w:rFonts w:ascii="Symbol" w:hAnsi="Symbol" w:hint="default"/>
      </w:rPr>
    </w:lvl>
    <w:lvl w:ilvl="4" w:tplc="EB8850F2" w:tentative="1">
      <w:start w:val="1"/>
      <w:numFmt w:val="bullet"/>
      <w:lvlText w:val="o"/>
      <w:lvlJc w:val="left"/>
      <w:pPr>
        <w:tabs>
          <w:tab w:val="num" w:pos="5760"/>
        </w:tabs>
        <w:ind w:left="5760" w:hanging="360"/>
      </w:pPr>
      <w:rPr>
        <w:rFonts w:ascii="Courier New" w:hAnsi="Courier New" w:hint="default"/>
      </w:rPr>
    </w:lvl>
    <w:lvl w:ilvl="5" w:tplc="D1F64D0A" w:tentative="1">
      <w:start w:val="1"/>
      <w:numFmt w:val="bullet"/>
      <w:lvlText w:val=""/>
      <w:lvlJc w:val="left"/>
      <w:pPr>
        <w:tabs>
          <w:tab w:val="num" w:pos="6480"/>
        </w:tabs>
        <w:ind w:left="6480" w:hanging="360"/>
      </w:pPr>
      <w:rPr>
        <w:rFonts w:ascii="Wingdings" w:hAnsi="Wingdings" w:hint="default"/>
      </w:rPr>
    </w:lvl>
    <w:lvl w:ilvl="6" w:tplc="0AC0D29C" w:tentative="1">
      <w:start w:val="1"/>
      <w:numFmt w:val="bullet"/>
      <w:lvlText w:val=""/>
      <w:lvlJc w:val="left"/>
      <w:pPr>
        <w:tabs>
          <w:tab w:val="num" w:pos="7200"/>
        </w:tabs>
        <w:ind w:left="7200" w:hanging="360"/>
      </w:pPr>
      <w:rPr>
        <w:rFonts w:ascii="Symbol" w:hAnsi="Symbol" w:hint="default"/>
      </w:rPr>
    </w:lvl>
    <w:lvl w:ilvl="7" w:tplc="4C6AFB2E" w:tentative="1">
      <w:start w:val="1"/>
      <w:numFmt w:val="bullet"/>
      <w:lvlText w:val="o"/>
      <w:lvlJc w:val="left"/>
      <w:pPr>
        <w:tabs>
          <w:tab w:val="num" w:pos="7920"/>
        </w:tabs>
        <w:ind w:left="7920" w:hanging="360"/>
      </w:pPr>
      <w:rPr>
        <w:rFonts w:ascii="Courier New" w:hAnsi="Courier New" w:hint="default"/>
      </w:rPr>
    </w:lvl>
    <w:lvl w:ilvl="8" w:tplc="D0F62C2A" w:tentative="1">
      <w:start w:val="1"/>
      <w:numFmt w:val="bullet"/>
      <w:lvlText w:val=""/>
      <w:lvlJc w:val="left"/>
      <w:pPr>
        <w:tabs>
          <w:tab w:val="num" w:pos="8640"/>
        </w:tabs>
        <w:ind w:left="8640" w:hanging="360"/>
      </w:pPr>
      <w:rPr>
        <w:rFonts w:ascii="Wingdings" w:hAnsi="Wingdings" w:hint="default"/>
      </w:rPr>
    </w:lvl>
  </w:abstractNum>
  <w:abstractNum w:abstractNumId="1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7FE40FC1"/>
    <w:multiLevelType w:val="singleLevel"/>
    <w:tmpl w:val="2FA09710"/>
    <w:lvl w:ilvl="0">
      <w:start w:val="1"/>
      <w:numFmt w:val="bullet"/>
      <w:pStyle w:val="bulletlist"/>
      <w:lvlText w:val=""/>
      <w:lvlJc w:val="left"/>
      <w:pPr>
        <w:tabs>
          <w:tab w:val="num" w:pos="360"/>
        </w:tabs>
        <w:ind w:left="360" w:hanging="360"/>
      </w:pPr>
      <w:rPr>
        <w:rFonts w:ascii="Wingdings" w:hAnsi="Wingdings" w:hint="default"/>
        <w:sz w:val="16"/>
      </w:rPr>
    </w:lvl>
  </w:abstractNum>
  <w:num w:numId="1">
    <w:abstractNumId w:val="3"/>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1"/>
  </w:num>
  <w:num w:numId="4">
    <w:abstractNumId w:val="1"/>
  </w:num>
  <w:num w:numId="5">
    <w:abstractNumId w:val="2"/>
  </w:num>
  <w:num w:numId="6">
    <w:abstractNumId w:val="9"/>
  </w:num>
  <w:num w:numId="7">
    <w:abstractNumId w:val="7"/>
  </w:num>
  <w:num w:numId="8">
    <w:abstractNumId w:val="5"/>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8"/>
  </w:num>
  <w:num w:numId="13">
    <w:abstractNumId w:val="8"/>
  </w:num>
  <w:num w:numId="14">
    <w:abstractNumId w:val="8"/>
    <w:lvlOverride w:ilvl="0">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0"/>
  </w:num>
  <w:num w:numId="22">
    <w:abstractNumId w:val="11"/>
  </w:num>
  <w:num w:numId="23">
    <w:abstractNumId w:val="8"/>
  </w:num>
  <w:num w:numId="24">
    <w:abstractNumId w:val="5"/>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strokecolor="silver">
      <v:stroke color="silver"/>
      <v:shadow color="gray" opacity="1" offset="2pt,2pt"/>
      <o:colormru v:ext="edit" colors="#333,#c30,#ddd,#f8f8f8"/>
    </o:shapedefaults>
  </w:hdrShapeDefaults>
  <w:footnotePr>
    <w:footnote w:id="-1"/>
    <w:footnote w:id="0"/>
  </w:footnotePr>
  <w:endnotePr>
    <w:endnote w:id="-1"/>
    <w:endnote w:id="0"/>
  </w:endnotePr>
  <w:compat/>
  <w:rsids>
    <w:rsidRoot w:val="002D3475"/>
    <w:rsid w:val="000F699F"/>
    <w:rsid w:val="001F1EB3"/>
    <w:rsid w:val="002232F5"/>
    <w:rsid w:val="0026353D"/>
    <w:rsid w:val="00280625"/>
    <w:rsid w:val="002D3475"/>
    <w:rsid w:val="00347779"/>
    <w:rsid w:val="00392B9F"/>
    <w:rsid w:val="003E2F8B"/>
    <w:rsid w:val="00417FB9"/>
    <w:rsid w:val="00476537"/>
    <w:rsid w:val="00544FB4"/>
    <w:rsid w:val="00552E53"/>
    <w:rsid w:val="005847E8"/>
    <w:rsid w:val="005957E0"/>
    <w:rsid w:val="005E091B"/>
    <w:rsid w:val="005F783C"/>
    <w:rsid w:val="006037CF"/>
    <w:rsid w:val="00676261"/>
    <w:rsid w:val="00682873"/>
    <w:rsid w:val="0089783D"/>
    <w:rsid w:val="008978FD"/>
    <w:rsid w:val="008B4835"/>
    <w:rsid w:val="00983937"/>
    <w:rsid w:val="009B0399"/>
    <w:rsid w:val="009D7327"/>
    <w:rsid w:val="00A558D3"/>
    <w:rsid w:val="00A5665A"/>
    <w:rsid w:val="00A932E3"/>
    <w:rsid w:val="00AC2794"/>
    <w:rsid w:val="00AD0640"/>
    <w:rsid w:val="00BB5733"/>
    <w:rsid w:val="00C23186"/>
    <w:rsid w:val="00C31FD6"/>
    <w:rsid w:val="00C94BEB"/>
    <w:rsid w:val="00C9795A"/>
    <w:rsid w:val="00E028AE"/>
    <w:rsid w:val="00E9320C"/>
    <w:rsid w:val="00F97D4B"/>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rokecolor="silver">
      <v:stroke color="silver"/>
      <v:shadow color="gray" opacity="1" offset="2pt,2pt"/>
      <o:colormru v:ext="edit" colors="#333,#c30,#ddd,#f8f8f8"/>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uiPriority w:val="9"/>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basedOn w:val="DefaultParagraphFont"/>
    <w:rsid w:val="00824390"/>
    <w:rPr>
      <w:sz w:val="14"/>
    </w:rPr>
  </w:style>
  <w:style w:type="paragraph" w:customStyle="1" w:styleId="title">
    <w:name w:val="title"/>
    <w:basedOn w:val="Normal"/>
    <w:rsid w:val="00824390"/>
    <w:pPr>
      <w:ind w:left="-2160"/>
    </w:pPr>
    <w:rPr>
      <w:sz w:val="28"/>
    </w:rPr>
  </w:style>
  <w:style w:type="paragraph" w:customStyle="1" w:styleId="bulletlist">
    <w:name w:val="bullet list"/>
    <w:basedOn w:val="Normal"/>
    <w:rsid w:val="00824390"/>
    <w:pPr>
      <w:numPr>
        <w:numId w:val="22"/>
      </w:numPr>
      <w:spacing w:before="60" w:after="0"/>
      <w:ind w:left="0" w:firstLine="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82439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paragraph" w:styleId="BodyText">
    <w:name w:val="Body Text"/>
    <w:basedOn w:val="Normal"/>
    <w:rsid w:val="00824390"/>
    <w:pPr>
      <w:spacing w:after="0"/>
      <w:jc w:val="center"/>
    </w:pPr>
    <w:rPr>
      <w:sz w:val="16"/>
    </w:rPr>
  </w:style>
  <w:style w:type="character" w:styleId="FootnoteReference">
    <w:name w:val="footnote reference"/>
    <w:basedOn w:val="DefaultParagraphFont"/>
    <w:rsid w:val="00824390"/>
    <w:rPr>
      <w:vertAlign w:val="superscript"/>
    </w:rPr>
  </w:style>
  <w:style w:type="paragraph" w:styleId="FootnoteText">
    <w:name w:val="footnote text"/>
    <w:basedOn w:val="Normal"/>
    <w:link w:val="FootnoteTextChar"/>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styleId="BodyText2">
    <w:name w:val="Body Text 2"/>
    <w:basedOn w:val="Normal"/>
    <w:rsid w:val="00824390"/>
    <w:pPr>
      <w:spacing w:after="0" w:line="200" w:lineRule="exact"/>
    </w:pPr>
    <w:rPr>
      <w:sz w:val="15"/>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customStyle="1" w:styleId="annotation">
    <w:name w:val="annotation"/>
    <w:basedOn w:val="BodyText2"/>
    <w:rsid w:val="00824390"/>
  </w:style>
  <w:style w:type="paragraph" w:customStyle="1" w:styleId="Style1">
    <w:name w:val="Style1"/>
    <w:basedOn w:val="Normal"/>
    <w:rsid w:val="00824390"/>
    <w:pPr>
      <w:spacing w:line="200" w:lineRule="exact"/>
    </w:pPr>
    <w:rPr>
      <w:sz w:val="15"/>
    </w:rPr>
  </w:style>
  <w:style w:type="paragraph" w:styleId="BodyText3">
    <w:name w:val="Body Text 3"/>
    <w:basedOn w:val="Normal"/>
    <w:rsid w:val="00824390"/>
    <w:pPr>
      <w:framePr w:w="4810" w:h="1440" w:hRule="exact" w:wrap="around" w:vAnchor="page" w:hAnchor="page" w:x="3889" w:y="9937" w:anchorLock="1"/>
      <w:pBdr>
        <w:top w:val="single" w:sz="4" w:space="1" w:color="auto"/>
      </w:pBdr>
      <w:spacing w:after="0" w:line="240" w:lineRule="auto"/>
    </w:pPr>
    <w:rPr>
      <w:rFonts w:ascii="TimesNewRoman" w:hAnsi="TimesNewRoman"/>
      <w:snapToGrid w:val="0"/>
      <w:sz w:val="16"/>
    </w:rPr>
  </w:style>
  <w:style w:type="paragraph" w:customStyle="1" w:styleId="Numberedlist">
    <w:name w:val="Numbered list"/>
    <w:basedOn w:val="bulletlist"/>
    <w:rsid w:val="00824390"/>
    <w:pPr>
      <w:numPr>
        <w:numId w:val="23"/>
      </w:numPr>
      <w:ind w:left="0" w:firstLine="0"/>
    </w:pPr>
  </w:style>
  <w:style w:type="character" w:styleId="Hyperlink">
    <w:name w:val="Hyperlink"/>
    <w:basedOn w:val="DefaultParagraphFont"/>
    <w:rsid w:val="00824390"/>
    <w:rPr>
      <w:color w:val="0000FF"/>
      <w:u w:val="singl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DefaultParagraphFont"/>
    <w:rsid w:val="00824390"/>
    <w:rPr>
      <w:color w:val="800080"/>
      <w:u w:val="single"/>
    </w:rPr>
  </w:style>
  <w:style w:type="character" w:customStyle="1" w:styleId="FootnoteTextChar">
    <w:name w:val="Footnote Text Char"/>
    <w:basedOn w:val="DefaultParagraphFont"/>
    <w:link w:val="FootnoteText"/>
    <w:rsid w:val="005E091B"/>
    <w:rPr>
      <w:rFonts w:ascii="Verdana" w:hAnsi="Verdana"/>
      <w:sz w:val="15"/>
      <w:lang w:val="en-US"/>
    </w:rPr>
  </w:style>
  <w:style w:type="character" w:styleId="Strong">
    <w:name w:val="Strong"/>
    <w:basedOn w:val="DefaultParagraphFont"/>
    <w:rsid w:val="00E9320C"/>
    <w:rPr>
      <w:b/>
      <w:bCs/>
    </w:rPr>
  </w:style>
  <w:style w:type="character" w:customStyle="1" w:styleId="Heading1Char">
    <w:name w:val="Heading 1 Char"/>
    <w:basedOn w:val="DefaultParagraphFont"/>
    <w:link w:val="Heading1"/>
    <w:uiPriority w:val="9"/>
    <w:rsid w:val="008B4835"/>
    <w:rPr>
      <w:rFonts w:ascii="Verdana" w:hAnsi="Verdana"/>
      <w:b/>
      <w:kern w:val="14"/>
      <w:sz w:val="19"/>
    </w:rPr>
  </w:style>
  <w:style w:type="paragraph" w:styleId="Bibliography">
    <w:name w:val="Bibliography"/>
    <w:basedOn w:val="Normal"/>
    <w:next w:val="Normal"/>
    <w:rsid w:val="008B4835"/>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4:Templates:My%20Templates:chi2006extendedabstrac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Sor09</b:Tag>
    <b:SourceType>Report</b:SourceType>
    <b:Guid>{774866DE-0E7A-5E49-92A4-9ECE460CFC28}</b:Guid>
    <b:LCID>0</b:LCID>
    <b:Author>
      <b:Author>
        <b:NameList>
          <b:Person>
            <b:Last>Sorrell</b:Last>
            <b:First>Steve</b:First>
          </b:Person>
          <b:Person>
            <b:Last>Speirs</b:Last>
            <b:First>Jamie</b:First>
          </b:Person>
          <b:Person>
            <b:Last>Bentley</b:Last>
            <b:First>Roger</b:First>
          </b:Person>
          <b:Person>
            <b:Last>Bran</b:Last>
            <b:First>Adam</b:First>
          </b:Person>
        </b:NameList>
      </b:Author>
    </b:Author>
    <b:Title>Global Oil Depletion</b:Title>
    <b:Year>2009</b:Year>
    <b:Institution>UK Energy Research Centre</b:Institution>
    <b:Department>Technology and Policy Assessment</b:Department>
    <b:RefOrder>1</b:RefOrder>
  </b:Source>
  <b:Source>
    <b:Tag>Ene07</b:Tag>
    <b:SourceType>Report</b:SourceType>
    <b:Guid>{E9B78FF4-1CF6-4148-AF46-D64B97AE255C}</b:Guid>
    <b:LCID>0</b:LCID>
    <b:Author>
      <b:Author>
        <b:Corporate>Energy Watch Group</b:Corporate>
      </b:Author>
    </b:Author>
    <b:Title>Coal: Resources and Future Production</b:Title>
    <b:Year>2007</b:Year>
    <b:RefOrder>2</b:RefOrder>
  </b:Source>
  <b:Source>
    <b:Tag>Ben02</b:Tag>
    <b:SourceType>JournalArticle</b:SourceType>
    <b:Guid>{3EDC006A-6126-5547-A3FB-65789B57B538}</b:Guid>
    <b:LCID>0</b:LCID>
    <b:Author>
      <b:Author>
        <b:NameList>
          <b:Person>
            <b:Last>Bentley</b:Last>
            <b:First>R</b:First>
            <b:Middle>W</b:Middle>
          </b:Person>
        </b:NameList>
      </b:Author>
    </b:Author>
    <b:Title>Global oil &amp; gas depletion: an overview</b:Title>
    <b:Publisher>Elsevier</b:Publisher>
    <b:Year>2002</b:Year>
    <b:JournalName>Energy Policy</b:JournalName>
    <b:Issue>30</b:Issue>
    <b:RefOrder>3</b:RefOrder>
  </b:Source>
  <b:Source>
    <b:Tag>Str11</b:Tag>
    <b:SourceType>ConferenceProceedings</b:SourceType>
    <b:Guid>{7E20D2E8-62B0-DE4A-BFA1-201811691FBB}</b:Guid>
    <b:LCID>0</b:LCID>
    <b:Author>
      <b:Author>
        <b:NameList>
          <b:Person>
            <b:Last>Strengers</b:Last>
            <b:First>Yolande</b:First>
          </b:Person>
        </b:NameList>
      </b:Author>
    </b:Author>
    <b:Title>Designing eco-feedback systems for everyday life</b:Title>
    <b:ConferenceName>Human factors in computing systems</b:ConferenceName>
    <b:Publisher>ACM</b:Publisher>
    <b:Year>2011</b:Year>
    <b:RefOrder>6</b:RefOrder>
  </b:Source>
  <b:Source>
    <b:Tag>DiS10</b:Tag>
    <b:SourceType>ConferenceProceedings</b:SourceType>
    <b:Guid>{FF3A89F5-A44B-2C43-A7CA-7126FFDEC124}</b:Guid>
    <b:LCID>0</b:LCID>
    <b:Author>
      <b:Author>
        <b:NameList>
          <b:Person>
            <b:Last>DiSalvo</b:Last>
            <b:First>Carl</b:First>
          </b:Person>
          <b:Person>
            <b:Last>Sengers</b:Last>
            <b:First>Phoebe</b:First>
          </b:Person>
          <b:Person>
            <b:Last>Brynjarsdóttir</b:Last>
            <b:First>Hrönn</b:First>
          </b:Person>
        </b:NameList>
      </b:Author>
    </b:Author>
    <b:Title>Mapping the Landscape of Sustainable HCI</b:Title>
    <b:Publisher>ACM</b:Publisher>
    <b:Year>2010</b:Year>
    <b:ConferenceName>Human factors in computing systems</b:ConferenceName>
    <b:RefOrder>5</b:RefOrder>
  </b:Source>
  <b:Source>
    <b:Tag>Shr11</b:Tag>
    <b:SourceType>ConferenceProceedings</b:SourceType>
    <b:Guid>{F83B3F09-4B2B-A544-8763-744CB4E285BA}</b:Guid>
    <b:LCID>0</b:LCID>
    <b:Author>
      <b:Author>
        <b:NameList>
          <b:Person>
            <b:Last>Shrubsole</b:Last>
            <b:First>Paul</b:First>
          </b:Person>
          <b:Person>
            <b:Last>Lavrysen</b:Last>
            <b:First>Tine</b:First>
          </b:Person>
          <b:Person>
            <b:Last>Janse</b:Last>
            <b:First>Maddy</b:First>
          </b:Person>
          <b:Person>
            <b:Last>Weda</b:Last>
            <b:First>Hans</b:First>
          </b:Person>
        </b:NameList>
      </b:Author>
    </b:Author>
    <b:Title>Flo: raising family awareness about electricity use</b:Title>
    <b:ConferenceName>Human factors in computing systems</b:ConferenceName>
    <b:Publisher>ACM</b:Publisher>
    <b:Year>2011</b:Year>
    <b:RefOrder>8</b:RefOrder>
  </b:Source>
  <b:Source>
    <b:Tag>Bir10</b:Tag>
    <b:SourceType>ConferenceProceedings</b:SourceType>
    <b:Guid>{F61F89A8-E3CF-EB4C-8F62-5784EA389E61}</b:Guid>
    <b:LCID>0</b:LCID>
    <b:Author>
      <b:Author>
        <b:NameList>
          <b:Person>
            <b:Last>Bird</b:Last>
            <b:First>Jon</b:First>
          </b:Person>
          <b:Person>
            <b:Last>Rogers</b:Last>
            <b:First>Yvonne</b:First>
          </b:Person>
        </b:NameList>
      </b:Author>
    </b:Author>
    <b:Title>The Pulse of Tidy Street: Measuring and Publicly Displaying Domestic Electricity Consumption</b:Title>
    <b:ConferenceName>Workshop on Energy Awareness and Conservation through Pervasive Applications at Pervasive</b:ConferenceName>
    <b:Year>2010</b:Year>
    <b:RefOrder>7</b:RefOrder>
  </b:Source>
  <b:Source>
    <b:Tag>Dep</b:Tag>
    <b:SourceType>Report</b:SourceType>
    <b:Guid>{749ACCA5-33AE-1741-8365-39FA13EE9617}</b:Guid>
    <b:LCID>0</b:LCID>
    <b:Author>
      <b:Author>
        <b:Corporate>Department of Energy and Climate Change</b:Corporate>
      </b:Author>
    </b:Author>
    <b:Title>Towards a smarter future: government response to the consultation on electricity and gas smart metering</b:Title>
    <b:Institution>Department of Energy and Climate Change</b:Institution>
    <b:Department>Smart Metering Team</b:Department>
    <b:Year>2009</b:Year>
    <b:RefOrder>4</b:RefOrder>
  </b:Source>
</b:Sources>
</file>

<file path=customXml/itemProps1.xml><?xml version="1.0" encoding="utf-8"?>
<ds:datastoreItem xmlns:ds="http://schemas.openxmlformats.org/officeDocument/2006/customXml" ds:itemID="{123DBE4D-875D-8343-93F3-D501CE90D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chi2006extendedabstracts.dot</Template>
  <TotalTime>385</TotalTime>
  <Pages>4</Pages>
  <Words>1091</Words>
  <Characters>6223</Characters>
  <Application>Microsoft Macintosh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Background</vt:lpstr>
    </vt:vector>
  </TitlesOfParts>
  <Company> </Company>
  <LinksUpToDate>false</LinksUpToDate>
  <CharactersWithSpaces>7642</CharactersWithSpaces>
  <SharedDoc>false</SharedDoc>
  <HLinks>
    <vt:vector size="24" baseType="variant">
      <vt:variant>
        <vt:i4>3080250</vt:i4>
      </vt:variant>
      <vt:variant>
        <vt:i4>0</vt:i4>
      </vt:variant>
      <vt:variant>
        <vt:i4>0</vt:i4>
      </vt:variant>
      <vt:variant>
        <vt:i4>5</vt:i4>
      </vt:variant>
      <vt:variant>
        <vt:lpwstr>http://www.acm.org/class/how_to_use.html</vt:lpwstr>
      </vt:variant>
      <vt:variant>
        <vt:lpwstr/>
      </vt:variant>
      <vt:variant>
        <vt:i4>7929950</vt:i4>
      </vt:variant>
      <vt:variant>
        <vt:i4>7123</vt:i4>
      </vt:variant>
      <vt:variant>
        <vt:i4>1025</vt:i4>
      </vt:variant>
      <vt:variant>
        <vt:i4>1</vt:i4>
      </vt:variant>
      <vt:variant>
        <vt:lpwstr>amazon1</vt:lpwstr>
      </vt:variant>
      <vt:variant>
        <vt:lpwstr/>
      </vt:variant>
      <vt:variant>
        <vt:i4>7929947</vt:i4>
      </vt:variant>
      <vt:variant>
        <vt:i4>-1</vt:i4>
      </vt:variant>
      <vt:variant>
        <vt:i4>1032</vt:i4>
      </vt:variant>
      <vt:variant>
        <vt:i4>1</vt:i4>
      </vt:variant>
      <vt:variant>
        <vt:lpwstr>amazon4</vt:lpwstr>
      </vt:variant>
      <vt:variant>
        <vt:lpwstr/>
      </vt:variant>
      <vt:variant>
        <vt:i4>7929948</vt:i4>
      </vt:variant>
      <vt:variant>
        <vt:i4>-1</vt:i4>
      </vt:variant>
      <vt:variant>
        <vt:i4>1034</vt:i4>
      </vt:variant>
      <vt:variant>
        <vt:i4>1</vt:i4>
      </vt:variant>
      <vt:variant>
        <vt:lpwstr>amazon3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Ben Bedwell</cp:lastModifiedBy>
  <cp:revision>8</cp:revision>
  <cp:lastPrinted>2010-12-06T08:47:00Z</cp:lastPrinted>
  <dcterms:created xsi:type="dcterms:W3CDTF">2011-05-20T16:31:00Z</dcterms:created>
  <dcterms:modified xsi:type="dcterms:W3CDTF">2011-05-21T00:15:00Z</dcterms:modified>
</cp:coreProperties>
</file>