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8"/>
          <w:szCs w:val="48"/>
        </w:rPr>
        <w:t xml:space="preserve">Peer Schools Comparison</w:t>
      </w:r>
    </w:p>
    <w:p>
      <w:pPr>
        <w:spacing w:after="200"/>
      </w:pPr>
      <w:r>
        <w:rPr>
          <w:rFonts w:ascii="Arial" w:cs="Arial" w:eastAsia="Arial" w:hAnsi="Arial"/>
          <w:b/>
          <w:bCs/>
          <w:sz w:val="40"/>
          <w:szCs w:val="40"/>
        </w:rPr>
        <w:t xml:space="preserve">Project Methodology</w:t>
      </w:r>
    </w:p>
    <w:p>
      <w:pPr>
        <w:spacing w:after="120"/>
      </w:pPr>
      <w:r>
        <w:rPr>
          <w:rFonts w:ascii="Arial" w:cs="Arial" w:eastAsia="Arial" w:hAnsi="Arial"/>
          <w:i/>
          <w:iCs/>
          <w:color w:val="555555"/>
          <w:sz w:val="24"/>
          <w:szCs w:val="24"/>
        </w:rPr>
        <w:t xml:space="preserve">College of the Holy Cross peer-comparison data layer</w:t>
      </w:r>
    </w:p>
    <w:p>
      <w:pPr>
        <w:spacing w:after="720"/>
      </w:pPr>
      <w:r>
        <w:rPr>
          <w:rFonts w:ascii="Arial" w:cs="Arial" w:eastAsia="Arial" w:hAnsi="Arial"/>
          <w:i/>
          <w:iCs/>
          <w:color w:val="555555"/>
          <w:sz w:val="22"/>
          <w:szCs w:val="22"/>
        </w:rPr>
        <w:t xml:space="preserve">Consolidated methodology covering all 5 modules: Aid, Admissions, Enrollment, Outcomes, Finance &amp; Resources</w:t>
      </w:r>
    </w:p>
    <w:p>
      <w:pPr>
        <w:pStyle w:val="Heading1"/>
        <w:spacing w:after="180" w:before="360"/>
      </w:pPr>
      <w:r>
        <w:rPr>
          <w:rFonts w:ascii="Arial" w:cs="Arial" w:eastAsia="Arial" w:hAnsi="Arial"/>
          <w:b/>
          <w:bCs/>
          <w:sz w:val="32"/>
          <w:szCs w:val="32"/>
        </w:rPr>
        <w:t xml:space="preserve">Part I — Project Foundations</w:t>
      </w:r>
    </w:p>
    <w:p>
      <w:pPr>
        <w:pStyle w:val="Heading2"/>
        <w:spacing w:after="120" w:before="240"/>
      </w:pPr>
      <w:r>
        <w:rPr>
          <w:rFonts w:ascii="Arial" w:cs="Arial" w:eastAsia="Arial" w:hAnsi="Arial"/>
          <w:b/>
          <w:bCs/>
          <w:sz w:val="26"/>
          <w:szCs w:val="26"/>
        </w:rPr>
        <w:t xml:space="preserve">Purpose and scope</w:t>
      </w:r>
    </w:p>
    <w:p>
      <w:pPr>
        <w:spacing w:after="120"/>
      </w:pPr>
      <w:r>
        <w:rPr>
          <w:rFonts w:ascii="Arial" w:cs="Arial" w:eastAsia="Arial" w:hAnsi="Arial"/>
          <w:sz w:val="22"/>
          <w:szCs w:val="22"/>
        </w:rPr>
        <w:t xml:space="preserve">This project assembles a five-year, institution-level panel covering 72 variables across five thematic modules: Aid, Admissions, Enrollment, Outcomes, and Finance &amp; Resources. The data layer is designed to support peer-comparison work for the College of the Holy Cross, with a structure that generalizes so any institution can later be selected as the basis of a comparison set.</w:t>
      </w:r>
    </w:p>
    <w:p>
      <w:pPr>
        <w:spacing w:after="120"/>
      </w:pPr>
      <w:r>
        <w:rPr>
          <w:rFonts w:ascii="Arial" w:cs="Arial" w:eastAsia="Arial" w:hAnsi="Arial"/>
          <w:sz w:val="22"/>
          <w:szCs w:val="22"/>
        </w:rPr>
        <w:t xml:space="preserve">Scope is limited to data acquisition. The modules do not score or rank institutions; weighting and comparison are the responsibility of downstream applications. Each variable is tagged with metadata describing its intended analytical role, comparison scope, and relationship to NECHE accreditation reporting.</w:t>
      </w:r>
    </w:p>
    <w:p>
      <w:pPr>
        <w:spacing w:after="120"/>
      </w:pPr>
      <w:r>
        <w:rPr>
          <w:rFonts w:ascii="Arial" w:cs="Arial" w:eastAsia="Arial" w:hAnsi="Arial"/>
          <w:sz w:val="22"/>
          <w:szCs w:val="22"/>
        </w:rPr>
        <w:t xml:space="preserve">This document consolidates the five module-level methodologies into a single reference. Cross-cutting conventions (year handling, tagging system, data architecture) appear in Part I; module-specific methodologies appear in Part II; reproducibility and reference material appears in Part III.</w:t>
      </w:r>
    </w:p>
    <w:p>
      <w:pPr>
        <w:pStyle w:val="Heading2"/>
        <w:spacing w:after="120" w:before="240"/>
      </w:pPr>
      <w:r>
        <w:rPr>
          <w:rFonts w:ascii="Arial" w:cs="Arial" w:eastAsia="Arial" w:hAnsi="Arial"/>
          <w:b/>
          <w:bCs/>
          <w:sz w:val="26"/>
          <w:szCs w:val="26"/>
        </w:rPr>
        <w:t xml:space="preserve">Two-table data architecture</w:t>
      </w:r>
    </w:p>
    <w:p>
      <w:pPr>
        <w:spacing w:after="120"/>
      </w:pPr>
      <w:r>
        <w:rPr>
          <w:rFonts w:ascii="Arial" w:cs="Arial" w:eastAsia="Arial" w:hAnsi="Arial"/>
          <w:sz w:val="22"/>
          <w:szCs w:val="22"/>
        </w:rPr>
        <w:t xml:space="preserve">Every module follows the same data shape. A shared schools.csv file holds one row per institution with stable attributes (name, sector, control, classification, accreditor, Carnegie classifications). Each module writes its own facts and variables tables to output/: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000"/>
      </w:tblGrid>
      <w:tr>
        <w:tc>
          <w:tcPr>
            <w:tcW w:type="dxa" w:w="2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Output file</w:t>
            </w:r>
          </w:p>
        </w:tc>
        <w:tc>
          <w:tcPr>
            <w:tcW w:type="dxa" w:w="4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3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Granularity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schools.csv</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Institutional attributes - one row per institution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Built once by schools_pipeline.R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&lt;module&gt;_facts.csv</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Metric values - one row per unitid × year × metric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Long format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&lt;module&gt;_variables.csv</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Metric metadata - one row per metric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Module's variable catalog</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long-format facts table is the canonical form. A wide one-row-per-school-year representation can be constructed in two lines with tidyr::pivot_wider() when downstream applications need it; the facts table avoids committing the data to any particular wide shape.</w:t>
      </w:r>
    </w:p>
    <w:p>
      <w:pPr>
        <w:spacing w:after="120"/>
      </w:pPr>
      <w:r>
        <w:rPr>
          <w:rFonts w:ascii="Arial" w:cs="Arial" w:eastAsia="Arial" w:hAnsi="Arial"/>
          <w:sz w:val="22"/>
          <w:szCs w:val="22"/>
        </w:rPr>
        <w:t xml:space="preserve">Every facts row carries a var_type field marking how the value was produced: raw (direct from a source field), computed (derived in the pipeline from one or more raw fields), or external (pulled from a non-IPEDS API such as Academic Insights, College Scorecard, or Carnegie).</w:t>
      </w:r>
    </w:p>
    <w:p>
      <w:pPr>
        <w:pStyle w:val="Heading2"/>
        <w:spacing w:after="120" w:before="240"/>
      </w:pPr>
      <w:r>
        <w:rPr>
          <w:rFonts w:ascii="Arial" w:cs="Arial" w:eastAsia="Arial" w:hAnsi="Arial"/>
          <w:b/>
          <w:bCs/>
          <w:sz w:val="26"/>
          <w:szCs w:val="26"/>
        </w:rPr>
        <w:t xml:space="preserve">Variable tagging system</w:t>
      </w:r>
    </w:p>
    <w:p>
      <w:pPr>
        <w:spacing w:after="120"/>
      </w:pPr>
      <w:r>
        <w:rPr>
          <w:rFonts w:ascii="Arial" w:cs="Arial" w:eastAsia="Arial" w:hAnsi="Arial"/>
          <w:sz w:val="22"/>
          <w:szCs w:val="22"/>
        </w:rPr>
        <w:t xml:space="preserve">Each row in &lt;module&gt;_variables.csv carries the following metadata fields:</w:t>
      </w:r>
    </w:p>
    <w:p>
      <w:pPr>
        <w:pStyle w:val="Heading3"/>
        <w:spacing w:after="100" w:before="200"/>
      </w:pPr>
      <w:r>
        <w:rPr>
          <w:rFonts w:ascii="Arial" w:cs="Arial" w:eastAsia="Arial" w:hAnsi="Arial"/>
          <w:b/>
          <w:bCs/>
          <w:sz w:val="24"/>
          <w:szCs w:val="24"/>
        </w:rPr>
        <w:t xml:space="preserve">use_type</w:t>
      </w:r>
    </w:p>
    <w:p>
      <w:pPr>
        <w:spacing w:after="120"/>
      </w:pPr>
      <w:r>
        <w:rPr>
          <w:rFonts w:ascii="Arial" w:cs="Arial" w:eastAsia="Arial" w:hAnsi="Arial"/>
          <w:sz w:val="22"/>
          <w:szCs w:val="22"/>
        </w:rPr>
        <w:t xml:space="preserve">Three values capture the variable's intended analytical role:</w:t>
      </w:r>
    </w:p>
    <w:p>
      <w:pPr>
        <w:pStyle w:val="ListParagraph"/>
        <w:numPr>
          <w:ilvl w:val="0"/>
          <w:numId w:val="2"/>
        </w:numPr>
        <w:spacing w:after="80"/>
      </w:pPr>
      <w:r>
        <w:rPr>
          <w:rFonts w:ascii="Arial" w:cs="Arial" w:eastAsia="Arial" w:hAnsi="Arial"/>
          <w:sz w:val="22"/>
          <w:szCs w:val="22"/>
        </w:rPr>
        <w:t xml:space="preserve">clustering — variables that should drive peer-set construction or similarity scoring</w:t>
      </w:r>
    </w:p>
    <w:p>
      <w:pPr>
        <w:pStyle w:val="ListParagraph"/>
        <w:numPr>
          <w:ilvl w:val="0"/>
          <w:numId w:val="2"/>
        </w:numPr>
        <w:spacing w:after="80"/>
      </w:pPr>
      <w:r>
        <w:rPr>
          <w:rFonts w:ascii="Arial" w:cs="Arial" w:eastAsia="Arial" w:hAnsi="Arial"/>
          <w:sz w:val="22"/>
          <w:szCs w:val="22"/>
        </w:rPr>
        <w:t xml:space="preserve">descriptive — variables useful for institutional profiles but with known issues (selection bias, sparse coverage, or interpretive ambiguity) that make them inappropriate for clustering</w:t>
      </w:r>
    </w:p>
    <w:p>
      <w:pPr>
        <w:pStyle w:val="ListParagraph"/>
        <w:numPr>
          <w:ilvl w:val="0"/>
          <w:numId w:val="2"/>
        </w:numPr>
        <w:spacing w:after="80"/>
      </w:pPr>
      <w:r>
        <w:rPr>
          <w:rFonts w:ascii="Arial" w:cs="Arial" w:eastAsia="Arial" w:hAnsi="Arial"/>
          <w:sz w:val="22"/>
          <w:szCs w:val="22"/>
        </w:rPr>
        <w:t xml:space="preserve">exploratory — variables carried for hypothesis-generation or sensitivity analysis but not used in the primary peer-set workflow</w:t>
      </w:r>
    </w:p>
    <w:p>
      <w:pPr>
        <w:pStyle w:val="Heading3"/>
        <w:spacing w:after="100" w:before="200"/>
      </w:pPr>
      <w:r>
        <w:rPr>
          <w:rFonts w:ascii="Arial" w:cs="Arial" w:eastAsia="Arial" w:hAnsi="Arial"/>
          <w:b/>
          <w:bCs/>
          <w:sz w:val="24"/>
          <w:szCs w:val="24"/>
        </w:rPr>
        <w:t xml:space="preserve">comparison_scope</w:t>
      </w:r>
    </w:p>
    <w:p>
      <w:pPr>
        <w:spacing w:after="120"/>
      </w:pPr>
      <w:r>
        <w:rPr>
          <w:rFonts w:ascii="Arial" w:cs="Arial" w:eastAsia="Arial" w:hAnsi="Arial"/>
          <w:sz w:val="22"/>
          <w:szCs w:val="22"/>
        </w:rPr>
        <w:t xml:space="preserve">Two values flag whether the variable is meaningful across the full universe or only within sector:</w:t>
      </w:r>
    </w:p>
    <w:p>
      <w:pPr>
        <w:pStyle w:val="ListParagraph"/>
        <w:numPr>
          <w:ilvl w:val="0"/>
          <w:numId w:val="2"/>
        </w:numPr>
        <w:spacing w:after="80"/>
      </w:pPr>
      <w:r>
        <w:rPr>
          <w:rFonts w:ascii="Arial" w:cs="Arial" w:eastAsia="Arial" w:hAnsi="Arial"/>
          <w:sz w:val="22"/>
          <w:szCs w:val="22"/>
        </w:rPr>
        <w:t xml:space="preserve">cross_category — comparison is meaningful between public and private NFP institutions</w:t>
      </w:r>
    </w:p>
    <w:p>
      <w:pPr>
        <w:pStyle w:val="ListParagraph"/>
        <w:numPr>
          <w:ilvl w:val="0"/>
          <w:numId w:val="2"/>
        </w:numPr>
        <w:spacing w:after="80"/>
      </w:pPr>
      <w:r>
        <w:rPr>
          <w:rFonts w:ascii="Arial" w:cs="Arial" w:eastAsia="Arial" w:hAnsi="Arial"/>
          <w:sz w:val="22"/>
          <w:szCs w:val="22"/>
        </w:rPr>
        <w:t xml:space="preserve">within_category — sector-specific differences in reporting or mission make cross-sector comparison misleading (e.g., student-services spending per FTE)</w:t>
      </w:r>
    </w:p>
    <w:p>
      <w:pPr>
        <w:pStyle w:val="Heading3"/>
        <w:spacing w:after="100" w:before="200"/>
      </w:pPr>
      <w:r>
        <w:rPr>
          <w:rFonts w:ascii="Arial" w:cs="Arial" w:eastAsia="Arial" w:hAnsi="Arial"/>
          <w:b/>
          <w:bCs/>
          <w:sz w:val="24"/>
          <w:szCs w:val="24"/>
        </w:rPr>
        <w:t xml:space="preserve">neche_peer_set</w:t>
      </w:r>
    </w:p>
    <w:p>
      <w:pPr>
        <w:spacing w:after="120"/>
      </w:pPr>
      <w:r>
        <w:rPr>
          <w:rFonts w:ascii="Arial" w:cs="Arial" w:eastAsia="Arial" w:hAnsi="Arial"/>
          <w:sz w:val="22"/>
          <w:szCs w:val="22"/>
        </w:rPr>
        <w:t xml:space="preserve">Boolean flag (TRUE / FALSE) marking the seven variables NECHE uses for its institutional peer-grouping algorithm in accreditation review. The set is distributed across modules:</w:t>
      </w:r>
    </w:p>
    <w:p>
      <w:pPr>
        <w:pStyle w:val="ListParagraph"/>
        <w:numPr>
          <w:ilvl w:val="0"/>
          <w:numId w:val="2"/>
        </w:numPr>
        <w:spacing w:after="80"/>
      </w:pPr>
      <w:r>
        <w:rPr>
          <w:rFonts w:ascii="Arial" w:cs="Arial" w:eastAsia="Arial" w:hAnsi="Arial"/>
          <w:sz w:val="22"/>
          <w:szCs w:val="22"/>
        </w:rPr>
        <w:t xml:space="preserve">Aid: pell_count</w:t>
      </w:r>
    </w:p>
    <w:p>
      <w:pPr>
        <w:pStyle w:val="ListParagraph"/>
        <w:numPr>
          <w:ilvl w:val="0"/>
          <w:numId w:val="2"/>
        </w:numPr>
        <w:spacing w:after="80"/>
      </w:pPr>
      <w:r>
        <w:rPr>
          <w:rFonts w:ascii="Arial" w:cs="Arial" w:eastAsia="Arial" w:hAnsi="Arial"/>
          <w:sz w:val="22"/>
          <w:szCs w:val="22"/>
        </w:rPr>
        <w:t xml:space="preserve">Enrollment: total_enrollment, undergraduate_enrollment, first_time_enrollment, full_time_enrollment (4 of 4)</w:t>
      </w:r>
    </w:p>
    <w:p>
      <w:pPr>
        <w:pStyle w:val="ListParagraph"/>
        <w:numPr>
          <w:ilvl w:val="0"/>
          <w:numId w:val="2"/>
        </w:numPr>
        <w:spacing w:after="80"/>
      </w:pPr>
      <w:r>
        <w:rPr>
          <w:rFonts w:ascii="Arial" w:cs="Arial" w:eastAsia="Arial" w:hAnsi="Arial"/>
          <w:sz w:val="22"/>
          <w:szCs w:val="22"/>
        </w:rPr>
        <w:t xml:space="preserve">Outcomes: doctoral_degrees_awarded</w:t>
      </w:r>
    </w:p>
    <w:p>
      <w:pPr>
        <w:pStyle w:val="ListParagraph"/>
        <w:numPr>
          <w:ilvl w:val="0"/>
          <w:numId w:val="2"/>
        </w:numPr>
        <w:spacing w:after="80"/>
      </w:pPr>
      <w:r>
        <w:rPr>
          <w:rFonts w:ascii="Arial" w:cs="Arial" w:eastAsia="Arial" w:hAnsi="Arial"/>
          <w:sz w:val="22"/>
          <w:szCs w:val="22"/>
        </w:rPr>
        <w:t xml:space="preserve">Finance &amp; Resources: herd_avg</w:t>
      </w:r>
    </w:p>
    <w:p>
      <w:pPr>
        <w:spacing w:after="120"/>
      </w:pPr>
      <w:r>
        <w:rPr>
          <w:rFonts w:ascii="Arial" w:cs="Arial" w:eastAsia="Arial" w:hAnsi="Arial"/>
          <w:sz w:val="22"/>
          <w:szCs w:val="22"/>
        </w:rPr>
        <w:t xml:space="preserve">Downstream applications reassemble the NECHE peer set by filtering neche_peer_set = TRUE across all module facts files.</w:t>
      </w:r>
    </w:p>
    <w:p>
      <w:pPr>
        <w:pStyle w:val="Heading3"/>
        <w:spacing w:after="100" w:before="200"/>
      </w:pPr>
      <w:r>
        <w:rPr>
          <w:rFonts w:ascii="Arial" w:cs="Arial" w:eastAsia="Arial" w:hAnsi="Arial"/>
          <w:b/>
          <w:bCs/>
          <w:sz w:val="24"/>
          <w:szCs w:val="24"/>
        </w:rPr>
        <w:t xml:space="preserve">neche_dashboard</w:t>
      </w:r>
    </w:p>
    <w:p>
      <w:pPr>
        <w:spacing w:after="120"/>
      </w:pPr>
      <w:r>
        <w:rPr>
          <w:rFonts w:ascii="Arial" w:cs="Arial" w:eastAsia="Arial" w:hAnsi="Arial"/>
          <w:sz w:val="22"/>
          <w:szCs w:val="22"/>
        </w:rPr>
        <w:t xml:space="preserve">Boolean flag marking variables that draw from the same source data as a metric appearing on NECHE's institutional dashboards. The interpretation is broad: a variable is flagged TRUE if it uses the same underlying IPEDS (or equivalent) source data as a NECHE dashboard metric, even if the project's presentation differs (e.g., we may compute a percentage where NECHE shows raw counts).</w:t>
      </w:r>
    </w:p>
    <w:p>
      <w:pPr>
        <w:spacing w:after="120"/>
      </w:pPr>
      <w:r>
        <w:rPr>
          <w:rFonts w:ascii="Arial" w:cs="Arial" w:eastAsia="Arial" w:hAnsi="Arial"/>
          <w:sz w:val="22"/>
          <w:szCs w:val="22"/>
        </w:rPr>
        <w:t xml:space="preserve">29 variables are flagged TRUE across the project. The flag is intentionally permissive — it identifies variables that participate in NECHE's dashboard ecosystem at the source-data level, rather than requiring exact construct match. Downstream applications wanting strict NECHE replication should treat the flag as a starting point and verify construct-level alignment for each flagged variable.</w:t>
      </w:r>
    </w:p>
    <w:p>
      <w:pPr>
        <w:pStyle w:val="Heading3"/>
        <w:spacing w:after="100" w:before="200"/>
      </w:pPr>
      <w:r>
        <w:rPr>
          <w:rFonts w:ascii="Arial" w:cs="Arial" w:eastAsia="Arial" w:hAnsi="Arial"/>
          <w:b/>
          <w:bCs/>
          <w:sz w:val="24"/>
          <w:szCs w:val="24"/>
        </w:rPr>
        <w:t xml:space="preserve">format and coverage_note</w:t>
      </w:r>
    </w:p>
    <w:p>
      <w:pPr>
        <w:spacing w:after="120"/>
      </w:pPr>
      <w:r>
        <w:rPr>
          <w:rFonts w:ascii="Arial" w:cs="Arial" w:eastAsia="Arial" w:hAnsi="Arial"/>
          <w:sz w:val="22"/>
          <w:szCs w:val="22"/>
        </w:rPr>
        <w:t xml:space="preserve">Two free-text fields document the variable's expected value range (currency, percentage, count, ratio) and any known caveats about coverage, definition subtleties, or composition issues. The coverage_note field is the place where source-specific gotchas are documented at the variable level.</w:t>
      </w:r>
    </w:p>
    <w:p>
      <w:pPr>
        <w:pStyle w:val="Heading2"/>
        <w:spacing w:after="120" w:before="240"/>
      </w:pPr>
      <w:r>
        <w:rPr>
          <w:rFonts w:ascii="Arial" w:cs="Arial" w:eastAsia="Arial" w:hAnsi="Arial"/>
          <w:b/>
          <w:bCs/>
          <w:sz w:val="26"/>
          <w:szCs w:val="26"/>
        </w:rPr>
        <w:t xml:space="preserve">The institution universe</w:t>
      </w:r>
    </w:p>
    <w:p>
      <w:pPr>
        <w:spacing w:after="120"/>
      </w:pPr>
      <w:r>
        <w:rPr>
          <w:rFonts w:ascii="Arial" w:cs="Arial" w:eastAsia="Arial" w:hAnsi="Arial"/>
          <w:sz w:val="22"/>
          <w:szCs w:val="22"/>
        </w:rPr>
        <w:t xml:space="preserve">The universe is every public (IPEDS SECTOR 1) and private not-for-profit (SECTOR 2) four-year institution — approximately 2,470 institutions per year, about 2,598 distinct institutions across the five-year panel. Private for-profit institutions and two-year institutions are excluded by design.</w:t>
      </w:r>
    </w:p>
    <w:p>
      <w:pPr>
        <w:spacing w:after="120"/>
      </w:pPr>
      <w:r>
        <w:rPr>
          <w:rFonts w:ascii="Arial" w:cs="Arial" w:eastAsia="Arial" w:hAnsi="Arial"/>
          <w:sz w:val="22"/>
          <w:szCs w:val="22"/>
        </w:rPr>
        <w:t xml:space="preserve">Each institution carries a US News classification field pulled from the Academic Insights /schools endpoint. The schools.csv flag in_ranked_universe is TRUE for institutions classified as National University, National Liberal Arts College, or Regional University (any region) — approximately 1,235 institutions. Holy Cross is a National Liberal Arts College.</w:t>
      </w:r>
    </w:p>
    <w:p>
      <w:pPr>
        <w:spacing w:after="120"/>
      </w:pPr>
      <w:r>
        <w:rPr>
          <w:rFonts w:ascii="Arial" w:cs="Arial" w:eastAsia="Arial" w:hAnsi="Arial"/>
          <w:sz w:val="22"/>
          <w:szCs w:val="22"/>
        </w:rPr>
        <w:t xml:space="preserve">Classification is a flag, not a filter. Institutions outside the ranked universe remain in the panel; they are simply marked. The application applies the flag when a Holy Cross-relevant comparison set is needed.</w:t>
      </w:r>
    </w:p>
    <w:p>
      <w:pPr>
        <w:spacing w:after="120"/>
      </w:pPr>
      <w:r>
        <w:rPr>
          <w:rFonts w:ascii="Arial" w:cs="Arial" w:eastAsia="Arial" w:hAnsi="Arial"/>
          <w:sz w:val="22"/>
          <w:szCs w:val="22"/>
        </w:rPr>
        <w:t xml:space="preserve">Two honest caveats. First, classification comes from Academic Insights, which only covers US News survey respondents — an institution can lack a classification because it did not respond rather than because it is unranked. Second, the classification pulled is current and is applied uniformly to all five panel years; for a Holy-Cross-centered tool this is immaterial (HC has been a National Liberal Arts College throughout), but it is a documented simplification.</w:t>
      </w:r>
    </w:p>
    <w:p>
      <w:pPr>
        <w:pStyle w:val="Heading2"/>
        <w:spacing w:after="120" w:before="240"/>
      </w:pPr>
      <w:r>
        <w:rPr>
          <w:rFonts w:ascii="Arial" w:cs="Arial" w:eastAsia="Arial" w:hAnsi="Arial"/>
          <w:b/>
          <w:bCs/>
          <w:sz w:val="26"/>
          <w:szCs w:val="26"/>
        </w:rPr>
        <w:t xml:space="preserve">Year conventions</w:t>
      </w:r>
    </w:p>
    <w:p>
      <w:pPr>
        <w:spacing w:after="120"/>
      </w:pPr>
      <w:r>
        <w:rPr>
          <w:rFonts w:ascii="Arial" w:cs="Arial" w:eastAsia="Arial" w:hAnsi="Arial"/>
          <w:sz w:val="22"/>
          <w:szCs w:val="22"/>
        </w:rPr>
        <w:t xml:space="preserve">The panel covers IPEDS collection years 2020-2021 through 2024-2025, which we refer to throughout as panel years 2020 through 2024 (fall-year convention). Different data sources use different year conventions, and the pipeline reconciles them as follows:</w:t>
      </w:r>
    </w:p>
    <w:p>
      <w:pPr>
        <w:pStyle w:val="Heading3"/>
        <w:spacing w:after="100" w:before="200"/>
      </w:pPr>
      <w:r>
        <w:rPr>
          <w:rFonts w:ascii="Arial" w:cs="Arial" w:eastAsia="Arial" w:hAnsi="Arial"/>
          <w:b/>
          <w:bCs/>
          <w:sz w:val="24"/>
          <w:szCs w:val="24"/>
        </w:rPr>
        <w:t xml:space="preserve">IPEDS year (canonical)</w:t>
      </w:r>
    </w:p>
    <w:p>
      <w:pPr>
        <w:spacing w:after="120"/>
      </w:pPr>
      <w:r>
        <w:rPr>
          <w:rFonts w:ascii="Arial" w:cs="Arial" w:eastAsia="Arial" w:hAnsi="Arial"/>
          <w:sz w:val="22"/>
          <w:szCs w:val="22"/>
        </w:rPr>
        <w:t xml:space="preserve">The project's canonical year is the IPEDS fall-year convention: panel year 2024 means the 2024-25 academic year, with IPEDS table HD2024. IPEDS data is retrieved with the ipeds package's load_ipeds() function. A one-year offset applies internally: load_ipeds(Y+1) returns the collection-year-Y tables. Several survey tables were reorganized across the panel — finance, aid, and cost tables in particular — and the pipelines record the correct table for each year.</w:t>
      </w:r>
    </w:p>
    <w:p>
      <w:pPr>
        <w:pStyle w:val="Heading3"/>
        <w:spacing w:after="100" w:before="200"/>
      </w:pPr>
      <w:r>
        <w:rPr>
          <w:rFonts w:ascii="Arial" w:cs="Arial" w:eastAsia="Arial" w:hAnsi="Arial"/>
          <w:b/>
          <w:bCs/>
          <w:sz w:val="24"/>
          <w:szCs w:val="24"/>
        </w:rPr>
        <w:t xml:space="preserve">IPEDS finance table FY-suffix convention</w:t>
      </w:r>
    </w:p>
    <w:p>
      <w:pPr>
        <w:spacing w:after="120"/>
      </w:pPr>
      <w:r>
        <w:rPr>
          <w:rFonts w:ascii="Arial" w:cs="Arial" w:eastAsia="Arial" w:hAnsi="Arial"/>
          <w:sz w:val="22"/>
          <w:szCs w:val="22"/>
        </w:rPr>
        <w:t xml:space="preserve">IPEDS finance tables use the fiscal-year-ending suffix, not the collection-year suffix. For collection year 2024 (the 2024-25 academic year), the finance survey reports FY2023-24 data, which lives in F2324_F1A (FASB private NFP) or F2324_F2 (GASB public). The pipeline computes the suffix as f_2digit(yr - 1) + f_2digit(yr). An earlier draft used the wrong suffix order and silently failed; the corrected convention is locked across all modules.</w:t>
      </w:r>
    </w:p>
    <w:p>
      <w:pPr>
        <w:pStyle w:val="Heading3"/>
        <w:spacing w:after="100" w:before="200"/>
      </w:pPr>
      <w:r>
        <w:rPr>
          <w:rFonts w:ascii="Arial" w:cs="Arial" w:eastAsia="Arial" w:hAnsi="Arial"/>
          <w:b/>
          <w:bCs/>
          <w:sz w:val="24"/>
          <w:szCs w:val="24"/>
        </w:rPr>
        <w:t xml:space="preserve">Academic Insights year offset (+2)</w:t>
      </w:r>
    </w:p>
    <w:p>
      <w:pPr>
        <w:spacing w:after="120"/>
      </w:pPr>
      <w:r>
        <w:rPr>
          <w:rFonts w:ascii="Arial" w:cs="Arial" w:eastAsia="Arial" w:hAnsi="Arial"/>
          <w:sz w:val="22"/>
          <w:szCs w:val="22"/>
        </w:rPr>
        <w:t xml:space="preserve">During development we discovered that Academic Insights labels its data with a 2-year lead over IPEDS table-name years. AI uses the spring-year of the academic year (AI year 2026 = the 2025-26 academic year), while IPEDS uses fall-year (HD2024 = the 2024-25 academic year). Additionally, AI publishes data with a 2-year lead, so AI year Y refers to the same academic year as IPEDS year Y - 2.</w:t>
      </w:r>
    </w:p>
    <w:p>
      <w:pPr>
        <w:spacing w:after="120"/>
      </w:pPr>
      <w:r>
        <w:rPr>
          <w:rFonts w:ascii="Arial" w:cs="Arial" w:eastAsia="Arial" w:hAnsi="Arial"/>
          <w:sz w:val="22"/>
          <w:szCs w:val="22"/>
        </w:rPr>
        <w:t xml:space="preserve">This was verified empirically on Holy Cross applicant counts: across five years of data, AI year 2022 (= 7,087 applicants) matched IPEDS year 2020 (= 7,087) exactly, and every subsequent year pair matched to the unit. The +2 offset is confirmed.</w:t>
      </w:r>
    </w:p>
    <w:p>
      <w:pPr>
        <w:spacing w:after="120"/>
      </w:pPr>
      <w:r>
        <w:rPr>
          <w:rFonts w:ascii="Arial" w:cs="Arial" w:eastAsia="Arial" w:hAnsi="Arial"/>
          <w:sz w:val="22"/>
          <w:szCs w:val="22"/>
        </w:rPr>
        <w:t xml:space="preserve">Helper functions in schools_pipeline.R: ipeds_to_ai_year(y) returns y + 2L; ai_to_ipeds_year(y) returns y - 2L. Pipeline log lines show both year framings (e.g., 'metric 374 / AI 2026 (IPEDS 2024): 1182 rows') so the mapping is verifiable at runtime.</w:t>
      </w:r>
    </w:p>
    <w:p>
      <w:pPr>
        <w:pStyle w:val="Heading3"/>
        <w:spacing w:after="100" w:before="200"/>
      </w:pPr>
      <w:r>
        <w:rPr>
          <w:rFonts w:ascii="Arial" w:cs="Arial" w:eastAsia="Arial" w:hAnsi="Arial"/>
          <w:b/>
          <w:bCs/>
          <w:sz w:val="24"/>
          <w:szCs w:val="24"/>
        </w:rPr>
        <w:t xml:space="preserve">Cohort-anchored vs year-anchored Academic Insights metrics</w:t>
      </w:r>
    </w:p>
    <w:p>
      <w:pPr>
        <w:spacing w:after="120"/>
      </w:pPr>
      <w:r>
        <w:rPr>
          <w:rFonts w:ascii="Arial" w:cs="Arial" w:eastAsia="Arial" w:hAnsi="Arial"/>
          <w:sz w:val="22"/>
          <w:szCs w:val="22"/>
        </w:rPr>
        <w:t xml:space="preserve">Most AI metrics are year-anchored — the pipeline pulls one (metric, year) pair at a time using AI year = ipeds_to_ai_year(panel_year). Some AI metrics from the Outcome Measures family are cohort-anchored — AI returns all available years in a single response with no year filter. The OUTCOMES_CONFIG$ai_metrics_no_year_filter list identifies these; the pipeline pulls them once and translates returned years via ai_to_ipeds_year(y).</w:t>
      </w:r>
    </w:p>
    <w:p>
      <w:pPr>
        <w:spacing w:after="120"/>
      </w:pPr>
      <w:r>
        <w:rPr>
          <w:rFonts w:ascii="Arial" w:cs="Arial" w:eastAsia="Arial" w:hAnsi="Arial"/>
          <w:sz w:val="22"/>
          <w:szCs w:val="22"/>
        </w:rPr>
        <w:t xml:space="preserve">first_gen_grad_rate_6yr (AI metric 1116) is the project's only cohort-anchored AI metric currently in use.</w:t>
      </w:r>
    </w:p>
    <w:p>
      <w:pPr>
        <w:pStyle w:val="Heading3"/>
        <w:spacing w:after="100" w:before="200"/>
      </w:pPr>
      <w:r>
        <w:rPr>
          <w:rFonts w:ascii="Arial" w:cs="Arial" w:eastAsia="Arial" w:hAnsi="Arial"/>
          <w:b/>
          <w:bCs/>
          <w:sz w:val="24"/>
          <w:szCs w:val="24"/>
        </w:rPr>
        <w:t xml:space="preserve">Single-snapshot variables</w:t>
      </w:r>
    </w:p>
    <w:p>
      <w:pPr>
        <w:spacing w:after="120"/>
      </w:pPr>
      <w:r>
        <w:rPr>
          <w:rFonts w:ascii="Arial" w:cs="Arial" w:eastAsia="Arial" w:hAnsi="Arial"/>
          <w:sz w:val="22"/>
          <w:szCs w:val="22"/>
        </w:rPr>
        <w:t xml:space="preserve">Some variables are inherently single-snapshot — pulled from sources that do not expose year-versioned values for the field of interest, or where the source data is itself a one-time computation rather than a panel measurement. For these, the pipeline writes one row per institution under the latest panel year (2024) only.</w:t>
      </w:r>
    </w:p>
    <w:p>
      <w:pPr>
        <w:spacing w:after="120"/>
      </w:pPr>
      <w:r>
        <w:rPr>
          <w:rFonts w:ascii="Arial" w:cs="Arial" w:eastAsia="Arial" w:hAnsi="Arial"/>
          <w:sz w:val="22"/>
          <w:szCs w:val="22"/>
        </w:rPr>
        <w:t xml:space="preserve">Single-snapshot variables in the project:</w:t>
      </w:r>
    </w:p>
    <w:p>
      <w:pPr>
        <w:pStyle w:val="ListParagraph"/>
        <w:numPr>
          <w:ilvl w:val="0"/>
          <w:numId w:val="2"/>
        </w:numPr>
        <w:spacing w:after="80"/>
      </w:pPr>
      <w:r>
        <w:rPr>
          <w:rFonts w:ascii="Arial" w:cs="Arial" w:eastAsia="Arial" w:hAnsi="Arial"/>
          <w:sz w:val="22"/>
          <w:szCs w:val="22"/>
        </w:rPr>
        <w:t xml:space="preserve">Outcomes: median_earnings_10yr, median_earnings_6yr, loan_repayment_rate (College Scorecard - latest snapshot)</w:t>
      </w:r>
    </w:p>
    <w:p>
      <w:pPr>
        <w:pStyle w:val="ListParagraph"/>
        <w:numPr>
          <w:ilvl w:val="0"/>
          <w:numId w:val="2"/>
        </w:numPr>
        <w:spacing w:after="80"/>
      </w:pPr>
      <w:r>
        <w:rPr>
          <w:rFonts w:ascii="Arial" w:cs="Arial" w:eastAsia="Arial" w:hAnsi="Arial"/>
          <w:sz w:val="22"/>
          <w:szCs w:val="22"/>
        </w:rPr>
        <w:t xml:space="preserve">Outcomes: first_gen_grad_rate_6yr (Academic Insights - cohort-anchored, lands under panel year 2024 in practice)</w:t>
      </w:r>
    </w:p>
    <w:p>
      <w:pPr>
        <w:pStyle w:val="ListParagraph"/>
        <w:numPr>
          <w:ilvl w:val="0"/>
          <w:numId w:val="2"/>
        </w:numPr>
        <w:spacing w:after="80"/>
      </w:pPr>
      <w:r>
        <w:rPr>
          <w:rFonts w:ascii="Arial" w:cs="Arial" w:eastAsia="Arial" w:hAnsi="Arial"/>
          <w:sz w:val="22"/>
          <w:szCs w:val="22"/>
        </w:rPr>
        <w:t xml:space="preserve">Outcomes: earnings_ratio (Carnegie SAEC - one-time 2025 classification snapshot)</w:t>
      </w:r>
    </w:p>
    <w:p>
      <w:pPr>
        <w:pStyle w:val="ListParagraph"/>
        <w:numPr>
          <w:ilvl w:val="0"/>
          <w:numId w:val="2"/>
        </w:numPr>
        <w:spacing w:after="80"/>
      </w:pPr>
      <w:r>
        <w:rPr>
          <w:rFonts w:ascii="Arial" w:cs="Arial" w:eastAsia="Arial" w:hAnsi="Arial"/>
          <w:sz w:val="22"/>
          <w:szCs w:val="22"/>
        </w:rPr>
        <w:t xml:space="preserve">Enrollment: pct_first_generation, median_family_income (College Scorecard - latest snapshot, year-prefixed paths return NULL for these fields)</w:t>
      </w:r>
    </w:p>
    <w:p>
      <w:pPr>
        <w:pStyle w:val="ListParagraph"/>
        <w:numPr>
          <w:ilvl w:val="0"/>
          <w:numId w:val="2"/>
        </w:numPr>
        <w:spacing w:after="80"/>
      </w:pPr>
      <w:r>
        <w:rPr>
          <w:rFonts w:ascii="Arial" w:cs="Arial" w:eastAsia="Arial" w:hAnsi="Arial"/>
          <w:sz w:val="22"/>
          <w:szCs w:val="22"/>
        </w:rPr>
        <w:t xml:space="preserve">Finance &amp; Resources: herd_avg (Carnegie 2025 - 3-year HERD average)</w:t>
      </w:r>
    </w:p>
    <w:p>
      <w:pPr>
        <w:spacing w:after="120"/>
      </w:pPr>
      <w:r>
        <w:rPr>
          <w:rFonts w:ascii="Arial" w:cs="Arial" w:eastAsia="Arial" w:hAnsi="Arial"/>
          <w:sz w:val="22"/>
          <w:szCs w:val="22"/>
        </w:rPr>
        <w:t xml:space="preserve">The coverage report function in each module evaluates single-snapshot variables against a 1-year denominator rather than a 5-year denominator, so their reported coverage rates are not artificially diluted by 5×. A new n_years column in the coverage report makes this transparent at a glance.</w:t>
      </w:r>
    </w:p>
    <w:p>
      <w:pPr>
        <w:pStyle w:val="Heading2"/>
        <w:spacing w:after="120" w:before="240"/>
      </w:pPr>
      <w:r>
        <w:rPr>
          <w:rFonts w:ascii="Arial" w:cs="Arial" w:eastAsia="Arial" w:hAnsi="Arial"/>
          <w:b/>
          <w:bCs/>
          <w:sz w:val="26"/>
          <w:szCs w:val="26"/>
        </w:rPr>
        <w:t xml:space="preserve">Rate normalization convention</w:t>
      </w:r>
    </w:p>
    <w:p>
      <w:pPr>
        <w:spacing w:after="120"/>
      </w:pPr>
      <w:r>
        <w:rPr>
          <w:rFonts w:ascii="Arial" w:cs="Arial" w:eastAsia="Arial" w:hAnsi="Arial"/>
          <w:sz w:val="22"/>
          <w:szCs w:val="22"/>
        </w:rPr>
        <w:t xml:space="preserve">All rate variables (percentages, proportions) in the project are stored on a 0-100 scale. IPEDS and Academic Insights both natively return rates as 0-100 percentages. College Scorecard returns rates as decimal proportions (0-1). The build functions multiply Scorecard rate values by 100 on the way in to align with the project-wide convention.</w:t>
      </w:r>
    </w:p>
    <w:p>
      <w:pPr>
        <w:spacing w:after="120"/>
      </w:pPr>
      <w:r>
        <w:rPr>
          <w:rFonts w:ascii="Arial" w:cs="Arial" w:eastAsia="Arial" w:hAnsi="Arial"/>
          <w:sz w:val="22"/>
          <w:szCs w:val="22"/>
        </w:rPr>
        <w:t xml:space="preserve">Each Scorecard-using module's config (OUTCOMES_CONFIG, ENR_CONFIG) carries a scorecard_rate_metrics list naming the Scorecard metrics that need the ×100 transformation. Currency fields (median_earnings, median_family_income) and count fields are explicitly excluded — they need no normalization.</w:t>
      </w:r>
    </w:p>
    <w:p>
      <w:pPr>
        <w:spacing w:after="120"/>
      </w:pPr>
      <w:r>
        <w:rPr>
          <w:rFonts w:ascii="Arial" w:cs="Arial" w:eastAsia="Arial" w:hAnsi="Arial"/>
          <w:sz w:val="22"/>
          <w:szCs w:val="22"/>
        </w:rPr>
        <w:t xml:space="preserve">Currently normalized: pct_first_generation (Enrollment), loan_repayment_rate (Outcomes). Currency and count Scorecard fields (median_earnings_6yr, median_earnings_10yr, median_family_income) pass through unchanged.</w:t>
      </w:r>
    </w:p>
    <w:p>
      <w:pPr>
        <w:pStyle w:val="Heading2"/>
        <w:spacing w:after="120" w:before="240"/>
      </w:pPr>
      <w:r>
        <w:rPr>
          <w:rFonts w:ascii="Arial" w:cs="Arial" w:eastAsia="Arial" w:hAnsi="Arial"/>
          <w:b/>
          <w:bCs/>
          <w:sz w:val="26"/>
          <w:szCs w:val="26"/>
        </w:rPr>
        <w:t xml:space="preserve">Data sources at a glance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00"/>
      </w:tblGrid>
      <w:tr>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Year handling</w:t>
            </w:r>
          </w:p>
        </w:tc>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(load_ipeds)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Yearly tables, fall-year convention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5 modules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Academic Insights (CDS)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Yearly pulls with +2 offset; one cohort-anchored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Aid, Admissions, Enrollment, Outcomes, Finance &amp; Resources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College Scorecard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Latest snapshot only (year-prefixed paths often NULL)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Outcomes, Enrollment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Carnegie 2025 PDF</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One-time 2020-2023 classification snapshot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Admissions, Outcomes, Finance &amp; Resources</w:t>
            </w:r>
          </w:p>
        </w:tc>
      </w:tr>
    </w:tbl>
    <w:p>
      <w:pPr>
        <w:spacing w:after="120"/>
      </w:pPr>
      <w:r>
        <w:rPr>
          <w:rFonts w:ascii="Arial" w:cs="Arial" w:eastAsia="Arial" w:hAnsi="Arial"/>
          <w:sz w:val="22"/>
          <w:szCs w:val="22"/>
        </w:rPr>
        <w:t xml:space="preserve"/>
      </w:r>
    </w:p>
    <w:p>
      <w:pPr>
        <w:pStyle w:val="Heading1"/>
        <w:pageBreakBefore/>
        <w:spacing w:after="180" w:before="360"/>
      </w:pPr>
      <w:r>
        <w:rPr>
          <w:rFonts w:ascii="Arial" w:cs="Arial" w:eastAsia="Arial" w:hAnsi="Arial"/>
          <w:b/>
          <w:bCs/>
          <w:sz w:val="32"/>
          <w:szCs w:val="32"/>
        </w:rPr>
        <w:t xml:space="preserve">Part II — Module Methodologies</w:t>
      </w:r>
    </w:p>
    <w:p>
      <w:pPr>
        <w:pStyle w:val="Heading1"/>
        <w:spacing w:after="180" w:before="360"/>
      </w:pPr>
      <w:r>
        <w:rPr>
          <w:rFonts w:ascii="Arial" w:cs="Arial" w:eastAsia="Arial" w:hAnsi="Arial"/>
          <w:b/>
          <w:bCs/>
          <w:sz w:val="32"/>
          <w:szCs w:val="32"/>
        </w:rPr>
        <w:t xml:space="preserve">Aid Module</w:t>
      </w:r>
    </w:p>
    <w:p>
      <w:pPr>
        <w:spacing w:after="120"/>
      </w:pPr>
      <w:r>
        <w:rPr>
          <w:rFonts w:ascii="Arial" w:cs="Arial" w:eastAsia="Arial" w:hAnsi="Arial"/>
          <w:sz w:val="22"/>
          <w:szCs w:val="22"/>
        </w:rPr>
        <w:t xml:space="preserve">Eleven metrics characterizing institutional financial aid: net price by income band, Pell participation, institutional grant generosity, federal loan exposure, and need-meeting from CDS data.</w:t>
      </w:r>
    </w:p>
    <w:p>
      <w:pPr>
        <w:pStyle w:val="Heading2"/>
        <w:spacing w:after="120" w:before="240"/>
      </w:pPr>
      <w:r>
        <w:rPr>
          <w:rFonts w:ascii="Arial" w:cs="Arial" w:eastAsia="Arial" w:hAnsi="Arial"/>
          <w:b/>
          <w:bCs/>
          <w:sz w:val="26"/>
          <w:szCs w:val="26"/>
        </w:rPr>
        <w:t xml:space="preserve">Variables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400"/>
      </w:tblGrid>
      <w:tr>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avg_net_price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DRVIC.NPIST2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avg_net_price_income_0_30k</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DRVIC.NPT412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pct_pell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SFA.PGRNT_P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pell_count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SFA.UPGRNTN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Descriptive, neche_peer_set,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pct_grant_aid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SFA.GRN4N12 / coverage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avg_inst_grant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SFA.IGRNT_A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inst_discount_rate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Derived (avg_inst_grant ÷ tuition)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pct_borrowing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SFA.LOAN_N12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avg_fed_loan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SFA.FLOAN_A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pct_need_met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Academic Insights metric 374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pct_need_fully_met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Academic Insights metric 366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sz w:val="26"/>
          <w:szCs w:val="26"/>
        </w:rPr>
        <w:t xml:space="preserve">Methodology notes</w:t>
      </w:r>
    </w:p>
    <w:p>
      <w:pPr>
        <w:spacing w:after="120"/>
      </w:pPr>
      <w:r>
        <w:rPr>
          <w:rFonts w:ascii="Arial" w:cs="Arial" w:eastAsia="Arial" w:hAnsi="Arial"/>
          <w:sz w:val="22"/>
          <w:szCs w:val="22"/>
        </w:rPr>
        <w:t xml:space="preserve">IPEDS aid variables describe full-time, first-time, degree-seeking undergraduates — the entering cohort, not all undergraduates. About 16% of private NFP institutions enroll no entering cohort and therefore have no IPEDS aid data; this is structural, not missing data.</w:t>
      </w:r>
    </w:p>
    <w:p>
      <w:pPr>
        <w:spacing w:after="120"/>
      </w:pPr>
      <w:r>
        <w:rPr>
          <w:rFonts w:ascii="Arial" w:cs="Arial" w:eastAsia="Arial" w:hAnsi="Arial"/>
          <w:sz w:val="22"/>
          <w:szCs w:val="22"/>
        </w:rPr>
        <w:t xml:space="preserve">The institutional discount rate uses in-state published tuition for public institutions; out-of-state comparisons would differ materially. This is documented in the variable's coverage_note.</w:t>
      </w:r>
    </w:p>
    <w:p>
      <w:pPr>
        <w:spacing w:after="120"/>
      </w:pPr>
      <w:r>
        <w:rPr>
          <w:rFonts w:ascii="Arial" w:cs="Arial" w:eastAsia="Arial" w:hAnsi="Arial"/>
          <w:sz w:val="22"/>
          <w:szCs w:val="22"/>
        </w:rPr>
        <w:t xml:space="preserve">pct_need_met and pct_need_fully_met are Academic Insights metrics with approximately 45% coverage (CDS respondents only). They are an enrichment layer, not a universe-wide measure.</w:t>
      </w:r>
    </w:p>
    <w:p>
      <w:pPr>
        <w:pStyle w:val="Heading2"/>
        <w:spacing w:after="120" w:before="240"/>
      </w:pPr>
      <w:r>
        <w:rPr>
          <w:rFonts w:ascii="Arial" w:cs="Arial" w:eastAsia="Arial" w:hAnsi="Arial"/>
          <w:b/>
          <w:bCs/>
          <w:sz w:val="26"/>
          <w:szCs w:val="26"/>
        </w:rPr>
        <w:t xml:space="preserve">NECHE flags in this module</w:t>
      </w:r>
    </w:p>
    <w:p>
      <w:pPr>
        <w:spacing w:after="120"/>
      </w:pPr>
      <w:r>
        <w:rPr>
          <w:rFonts w:ascii="Arial" w:cs="Arial" w:eastAsia="Arial" w:hAnsi="Arial"/>
          <w:sz w:val="22"/>
          <w:szCs w:val="22"/>
        </w:rPr>
        <w:t xml:space="preserve">pell_count is one of the seven NECHE peer-set metrics. Both pct_pell and pell_count carry neche_dashboard = TRUE — Pell participation appears prominently on NECHE's Student Financial Aid dashboard.</w:t>
      </w:r>
    </w:p>
    <w:p>
      <w:pPr>
        <w:pStyle w:val="Heading1"/>
        <w:pageBreakBefore/>
        <w:spacing w:after="180" w:before="360"/>
      </w:pPr>
      <w:r>
        <w:rPr>
          <w:rFonts w:ascii="Arial" w:cs="Arial" w:eastAsia="Arial" w:hAnsi="Arial"/>
          <w:b/>
          <w:bCs/>
          <w:sz w:val="32"/>
          <w:szCs w:val="32"/>
        </w:rPr>
        <w:t xml:space="preserve">Admissions Module</w:t>
      </w:r>
    </w:p>
    <w:p>
      <w:pPr>
        <w:spacing w:after="120"/>
      </w:pPr>
      <w:r>
        <w:rPr>
          <w:rFonts w:ascii="Arial" w:cs="Arial" w:eastAsia="Arial" w:hAnsi="Arial"/>
          <w:sz w:val="22"/>
          <w:szCs w:val="22"/>
        </w:rPr>
        <w:t xml:space="preserve">Eleven metrics characterizing how institutions select students, how those students respond, and how the resulting cohort is composed. The most consequential design decision in this module: SAT and ACT mid-50% scores are tagged descriptive rather than clustering, due to test-optional submission bias.</w:t>
      </w:r>
    </w:p>
    <w:p>
      <w:pPr>
        <w:pStyle w:val="Heading2"/>
        <w:spacing w:after="120" w:before="240"/>
      </w:pPr>
      <w:r>
        <w:rPr>
          <w:rFonts w:ascii="Arial" w:cs="Arial" w:eastAsia="Arial" w:hAnsi="Arial"/>
          <w:b/>
          <w:bCs/>
          <w:sz w:val="26"/>
          <w:szCs w:val="26"/>
        </w:rPr>
        <w:t xml:space="preserve">Variables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400"/>
      </w:tblGrid>
      <w:tr>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acceptance_rate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DRVADM.DVADM01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yield_rate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DRVADM.DVADM04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application_volume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ADM.APPLCN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(within_category)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sat_composite_mid50</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ADM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Descriptive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act_composite_mid50</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ADM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Descriptive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pct_submitting_sat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ADM.SATPCT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pct_submitting_act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ADM.ACTPCT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yield_gap_men_women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Derived from ADM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Exploratory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pct_top10_hs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Academic Insights metric 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ed_acceptance_rate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Academic Insights metric 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ed_share_of_applications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metric 194 ÷ IPEDS APPLCN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(within_category)</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sz w:val="26"/>
          <w:szCs w:val="26"/>
        </w:rPr>
        <w:t xml:space="preserve">Test scores as descriptive, not clustering</w:t>
      </w:r>
    </w:p>
    <w:p>
      <w:pPr>
        <w:spacing w:after="120"/>
      </w:pPr>
      <w:r>
        <w:rPr>
          <w:rFonts w:ascii="Arial" w:cs="Arial" w:eastAsia="Arial" w:hAnsi="Arial"/>
          <w:sz w:val="22"/>
          <w:szCs w:val="22"/>
        </w:rPr>
        <w:t xml:space="preserve">Test-optional adoption has substantially reduced the interpretability of mid-50% SAT and ACT scores. The reported mid-50% reflects only students who submitted scores; in a test-optional era this is a self-selected, often-small, often-strong subset. Two institutions reporting identical mid-50% scores can have entirely different testing cultures — one where 25% of enrollees submitted scores, one where 85% did. Treating the score as a clustering variable would push these institutions together when they should be apart.</w:t>
      </w:r>
    </w:p>
    <w:p>
      <w:pPr>
        <w:spacing w:after="120"/>
      </w:pPr>
      <w:r>
        <w:rPr>
          <w:rFonts w:ascii="Arial" w:cs="Arial" w:eastAsia="Arial" w:hAnsi="Arial"/>
          <w:sz w:val="22"/>
          <w:szCs w:val="22"/>
        </w:rPr>
        <w:t xml:space="preserve">Two corollaries: SAT and ACT scores are stored as separate variables (with descriptive use, no need to concord to a single composite); and the submission rates (pct_submitting_sat, pct_submitting_act) are promoted to core clustering variables. 'What kind of testing institution is this' is a cleaner, more reliably measured peer separator than the compromised score.</w:t>
      </w:r>
    </w:p>
    <w:p>
      <w:pPr>
        <w:pStyle w:val="Heading2"/>
        <w:spacing w:after="120" w:before="240"/>
      </w:pPr>
      <w:r>
        <w:rPr>
          <w:rFonts w:ascii="Arial" w:cs="Arial" w:eastAsia="Arial" w:hAnsi="Arial"/>
          <w:b/>
          <w:bCs/>
          <w:sz w:val="26"/>
          <w:szCs w:val="26"/>
        </w:rPr>
        <w:t xml:space="preserve">Year-aware IPEDS handling</w:t>
      </w:r>
    </w:p>
    <w:p>
      <w:pPr>
        <w:spacing w:after="120"/>
      </w:pPr>
      <w:r>
        <w:rPr>
          <w:rFonts w:ascii="Arial" w:cs="Arial" w:eastAsia="Arial" w:hAnsi="Arial"/>
          <w:sz w:val="22"/>
          <w:szCs w:val="22"/>
        </w:rPr>
        <w:t xml:space="preserve">The IPEDS ADM table was reorganized during the panel period. In 2020-21 the totals APPLCN, ADMSSN, and ENRLT are direct columns alongside gender breakouts. In 2024-25 the totals are gone — only gender breakouts remain, expanded to four categories (men, women, another gender, gender unknown). The pipeline tries each direct total first and falls back to summing gender components, so the same code reads correctly across the panel.</w:t>
      </w:r>
    </w:p>
    <w:p>
      <w:pPr>
        <w:spacing w:after="120"/>
      </w:pPr>
      <w:r>
        <w:rPr>
          <w:rFonts w:ascii="Arial" w:cs="Arial" w:eastAsia="Arial" w:hAnsi="Arial"/>
          <w:sz w:val="22"/>
          <w:szCs w:val="22"/>
        </w:rPr>
        <w:t xml:space="preserve">Similarly, SAT and ACT 50th-percentile scores (SATVR50, SATMT50, ACTCM50) appear in newer ADM collections but not in 2020-21. Where the 50th is absent, the pipeline computes the 25/75 midpoint as the mid-50% measure.</w:t>
      </w:r>
    </w:p>
    <w:p>
      <w:pPr>
        <w:pStyle w:val="Heading2"/>
        <w:spacing w:after="120" w:before="240"/>
      </w:pPr>
      <w:r>
        <w:rPr>
          <w:rFonts w:ascii="Arial" w:cs="Arial" w:eastAsia="Arial" w:hAnsi="Arial"/>
          <w:b/>
          <w:bCs/>
          <w:sz w:val="26"/>
          <w:szCs w:val="26"/>
        </w:rPr>
        <w:t xml:space="preserve">Why no test-policy variable</w:t>
      </w:r>
    </w:p>
    <w:p>
      <w:pPr>
        <w:spacing w:after="120"/>
      </w:pPr>
      <w:r>
        <w:rPr>
          <w:rFonts w:ascii="Arial" w:cs="Arial" w:eastAsia="Arial" w:hAnsi="Arial"/>
          <w:sz w:val="22"/>
          <w:szCs w:val="22"/>
        </w:rPr>
        <w:t xml:space="preserve">The variable design originally included a CDS-sourced test-policy variable (test-optional / required / blind). Academic Insights does not expose a metric for this categorization, so the variable is dropped rather than carried as a placeholder. The testing-culture signal is captured indirectly by the two submission-rate variables.</w:t>
      </w:r>
    </w:p>
    <w:p>
      <w:pPr>
        <w:pStyle w:val="Heading2"/>
        <w:spacing w:after="120" w:before="240"/>
      </w:pPr>
      <w:r>
        <w:rPr>
          <w:rFonts w:ascii="Arial" w:cs="Arial" w:eastAsia="Arial" w:hAnsi="Arial"/>
          <w:b/>
          <w:bCs/>
          <w:sz w:val="26"/>
          <w:szCs w:val="26"/>
        </w:rPr>
        <w:t xml:space="preserve">Two early-decision variables</w:t>
      </w:r>
    </w:p>
    <w:p>
      <w:pPr>
        <w:spacing w:after="120"/>
      </w:pPr>
      <w:r>
        <w:rPr>
          <w:rFonts w:ascii="Arial" w:cs="Arial" w:eastAsia="Arial" w:hAnsi="Arial"/>
          <w:sz w:val="22"/>
          <w:szCs w:val="22"/>
        </w:rPr>
        <w:t xml:space="preserve">Early decision is captured by two complementary measures rather than a single ED variable. ed_acceptance_rate is the demand-side measure (among ED applicants, what fraction admitted). ed_share_of_applications is the strategy-side measure (of all applicants, what fraction chose ED). Together the pair characterizes an institution's ED program; on their own, each tells only half the story.</w:t>
      </w:r>
    </w:p>
    <w:p>
      <w:pPr>
        <w:spacing w:after="120"/>
      </w:pPr>
      <w:r>
        <w:rPr>
          <w:rFonts w:ascii="Arial" w:cs="Arial" w:eastAsia="Arial" w:hAnsi="Arial"/>
          <w:sz w:val="22"/>
          <w:szCs w:val="22"/>
        </w:rPr>
        <w:t xml:space="preserve">Both inherit the ~45% coverage limit of Academic Insights on the numerator side. An NA value in either ED metric can mean 'no ED program' or 'school does not report to AI' — the pipeline cannot always distinguish these cases.</w:t>
      </w:r>
    </w:p>
    <w:p>
      <w:pPr>
        <w:pStyle w:val="Heading2"/>
        <w:spacing w:after="120" w:before="240"/>
      </w:pPr>
      <w:r>
        <w:rPr>
          <w:rFonts w:ascii="Arial" w:cs="Arial" w:eastAsia="Arial" w:hAnsi="Arial"/>
          <w:b/>
          <w:bCs/>
          <w:sz w:val="26"/>
          <w:szCs w:val="26"/>
        </w:rPr>
        <w:t xml:space="preserve">Academic concentration in schools.csv</w:t>
      </w:r>
    </w:p>
    <w:p>
      <w:pPr>
        <w:spacing w:after="120"/>
      </w:pPr>
      <w:r>
        <w:rPr>
          <w:rFonts w:ascii="Arial" w:cs="Arial" w:eastAsia="Arial" w:hAnsi="Arial"/>
          <w:sz w:val="22"/>
          <w:szCs w:val="22"/>
        </w:rPr>
        <w:t xml:space="preserve">The variable design includes Carnegie 2025 academic concentration (how heavily an institution's degrees concentrate in a single CIP field, and what that dominant field is) as admissions-relevant context. These two values (apm_max_cip2percent and apm_max_cip2_name) live in schools.csv rather than adm_facts because they are a one-time Carnegie snapshot and because apm_max_cip2_name is text rather than numeric.</w:t>
      </w:r>
    </w:p>
    <w:p>
      <w:pPr>
        <w:pStyle w:val="Heading2"/>
        <w:spacing w:after="120" w:before="240"/>
      </w:pPr>
      <w:r>
        <w:rPr>
          <w:rFonts w:ascii="Arial" w:cs="Arial" w:eastAsia="Arial" w:hAnsi="Arial"/>
          <w:b/>
          <w:bCs/>
          <w:sz w:val="26"/>
          <w:szCs w:val="26"/>
        </w:rPr>
        <w:t xml:space="preserve">NECHE flags in this module</w:t>
      </w:r>
    </w:p>
    <w:p>
      <w:pPr>
        <w:spacing w:after="120"/>
      </w:pPr>
      <w:r>
        <w:rPr>
          <w:rFonts w:ascii="Arial" w:cs="Arial" w:eastAsia="Arial" w:hAnsi="Arial"/>
          <w:sz w:val="22"/>
          <w:szCs w:val="22"/>
        </w:rPr>
        <w:t xml:space="preserve">No variables in the Admissions module carry neche_peer_set = TRUE or neche_dashboard = TRUE. NECHE's institutional dashboards focus on enrollment, outcomes, and aid; the admissions-process metrics in this module (acceptance rate, yield, test submission, ED program structure) are not on NECHE's standard reporting set. The column exists in adm_variables.csv for schema consistency across modules.</w:t>
      </w:r>
    </w:p>
    <w:p>
      <w:pPr>
        <w:pStyle w:val="Heading1"/>
        <w:pageBreakBefore/>
        <w:spacing w:after="180" w:before="360"/>
      </w:pPr>
      <w:r>
        <w:rPr>
          <w:rFonts w:ascii="Arial" w:cs="Arial" w:eastAsia="Arial" w:hAnsi="Arial"/>
          <w:b/>
          <w:bCs/>
          <w:sz w:val="32"/>
          <w:szCs w:val="32"/>
        </w:rPr>
        <w:t xml:space="preserve">Enrollment &amp; Student Body Module</w:t>
      </w:r>
    </w:p>
    <w:p>
      <w:pPr>
        <w:spacing w:after="120"/>
      </w:pPr>
      <w:r>
        <w:rPr>
          <w:rFonts w:ascii="Arial" w:cs="Arial" w:eastAsia="Arial" w:hAnsi="Arial"/>
          <w:sz w:val="22"/>
          <w:szCs w:val="22"/>
        </w:rPr>
        <w:t xml:space="preserve">Twenty-one variables characterizing the scale of enrollment, the composition of the student body, and the residential / first-generation / income dimensions of the undergraduate experience. The module integrates IPEDS, Academic Insights, and (added in this project iteration) College Scorecard.</w:t>
      </w:r>
    </w:p>
    <w:p>
      <w:pPr>
        <w:pStyle w:val="Heading2"/>
        <w:spacing w:after="120" w:before="240"/>
      </w:pPr>
      <w:r>
        <w:rPr>
          <w:rFonts w:ascii="Arial" w:cs="Arial" w:eastAsia="Arial" w:hAnsi="Arial"/>
          <w:b/>
          <w:bCs/>
          <w:sz w:val="26"/>
          <w:szCs w:val="26"/>
        </w:rPr>
        <w:t xml:space="preserve">Variables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400"/>
      </w:tblGrid>
      <w:tr>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total_enrollment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DRVEF.ENRTOT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neche_peer_set,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undergraduate_enrollment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DRVEF.EFUG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neche_peer_set,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first_time_enrollment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DRVEF.EFUG1ST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neche_peer_set,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full_time_enrollment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DRVEF.ENRFT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neche_peer_set,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pct_undergrad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Derived: EFUG / ENRTOT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pct_part_time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Derived: ENRPT / ENRTOT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pct_age_25plus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DRVEF.DVEF15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transfer_in_enrollment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DRVEF.EFUGTRN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Within-category,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pct_white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DRVEF.PCTENRWH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pct_international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DRVEF.PCTENRNR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pct_bipoc</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Derived: 100 - white - intl - unknown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pct_black / pct_hispanic / pct_asian / pct_nhpi / pct_aian / pct_two_or_more / pct_race_unknown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DRVEF.PCTENR*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Descriptive,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residential_share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Academic Insights metric 74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pct_first_generation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Scorecard share_firstgeneration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single 2024 snapshot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median_family_income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Scorecard median_family_income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single 2024 snapshot</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sz w:val="26"/>
          <w:szCs w:val="26"/>
        </w:rPr>
        <w:t xml:space="preserve">IPEDS DRVEF as the source of truth</w:t>
      </w:r>
    </w:p>
    <w:p>
      <w:pPr>
        <w:spacing w:after="120"/>
      </w:pPr>
      <w:r>
        <w:rPr>
          <w:rFonts w:ascii="Arial" w:cs="Arial" w:eastAsia="Arial" w:hAnsi="Arial"/>
          <w:sz w:val="22"/>
          <w:szCs w:val="22"/>
        </w:rPr>
        <w:t xml:space="preserve">Almost every IPEDS metric in this module comes from the DRVEF{year} derived table. IPEDS provides this table specifically to precompute the headcounts and percentages that the raw EF{year}A fall-enrollment table requires consumers to construct via row-level filters and aggregation. Using DRVEF eliminates row-filter bugs and makes the pipeline easier to read and verify. The four NECHE counts, percent age 25-64, transfer-in count, and every race/ethnicity percentage all come from this one table.</w:t>
      </w:r>
    </w:p>
    <w:p>
      <w:pPr>
        <w:spacing w:after="120"/>
      </w:pPr>
      <w:r>
        <w:rPr>
          <w:rFonts w:ascii="Arial" w:cs="Arial" w:eastAsia="Arial" w:hAnsi="Arial"/>
          <w:sz w:val="22"/>
          <w:szCs w:val="22"/>
        </w:rPr>
        <w:t xml:space="preserve">The only computed metrics from IPEDS in the module are pct_undergrad and pct_part_time, both of which would have come from DRVEF if precomputed siblings existed; they do not, so the pipeline does the division.</w:t>
      </w:r>
    </w:p>
    <w:p>
      <w:pPr>
        <w:pStyle w:val="Heading2"/>
        <w:spacing w:after="120" w:before="240"/>
      </w:pPr>
      <w:r>
        <w:rPr>
          <w:rFonts w:ascii="Arial" w:cs="Arial" w:eastAsia="Arial" w:hAnsi="Arial"/>
          <w:b/>
          <w:bCs/>
          <w:sz w:val="26"/>
          <w:szCs w:val="26"/>
        </w:rPr>
        <w:t xml:space="preserve">Four NECHE peer-set metrics</w:t>
      </w:r>
    </w:p>
    <w:p>
      <w:pPr>
        <w:spacing w:after="120"/>
      </w:pPr>
      <w:r>
        <w:rPr>
          <w:rFonts w:ascii="Arial" w:cs="Arial" w:eastAsia="Arial" w:hAnsi="Arial"/>
          <w:sz w:val="22"/>
          <w:szCs w:val="22"/>
        </w:rPr>
        <w:t xml:space="preserve">total_enrollment, undergraduate_enrollment, first_time_enrollment, and full_time_enrollment are tagged neche_peer_set = TRUE. These are four of the seven metrics in the NECHE peer-grouping algorithm. The four are highly correlated by construction (total includes UG; full-time includes first-time) and are also tagged use_type = clustering. The redundancy is accepted — the NECHE-set tag exists to enable replication of NECHE's workflow rather than to minimize correlation.</w:t>
      </w:r>
    </w:p>
    <w:p>
      <w:pPr>
        <w:pStyle w:val="Heading2"/>
        <w:spacing w:after="120" w:before="240"/>
      </w:pPr>
      <w:r>
        <w:rPr>
          <w:rFonts w:ascii="Arial" w:cs="Arial" w:eastAsia="Arial" w:hAnsi="Arial"/>
          <w:b/>
          <w:bCs/>
          <w:sz w:val="26"/>
          <w:szCs w:val="26"/>
        </w:rPr>
        <w:t xml:space="preserve">The three-level race/ethnicity trio</w:t>
      </w:r>
    </w:p>
    <w:p>
      <w:pPr>
        <w:spacing w:after="120"/>
      </w:pPr>
      <w:r>
        <w:rPr>
          <w:rFonts w:ascii="Arial" w:cs="Arial" w:eastAsia="Arial" w:hAnsi="Arial"/>
          <w:sz w:val="22"/>
          <w:szCs w:val="22"/>
        </w:rPr>
        <w:t xml:space="preserve">The clustering-tier race/ethnicity representation is a three-variable trio: pct_white, pct_international, pct_bipoc. pct_white and pct_international come directly from DRVEF (PCTENRWH and PCTENRNR). pct_bipoc is computed as 100 - white - international - unknown — that is, the trio deliberately excludes 'race/ethnicity unknown' from the BIPOC numerator. The reasoning: at institutions with high unknown rates, including unknown students as BIPOC would silently mislabel a data-quality issue as composition.</w:t>
      </w:r>
    </w:p>
    <w:p>
      <w:pPr>
        <w:spacing w:after="120"/>
      </w:pPr>
      <w:r>
        <w:rPr>
          <w:rFonts w:ascii="Arial" w:cs="Arial" w:eastAsia="Arial" w:hAnsi="Arial"/>
          <w:sz w:val="22"/>
          <w:szCs w:val="22"/>
        </w:rPr>
        <w:t xml:space="preserve">The trio therefore does not always sum to 100%; pct_race_unknown carries the remainder as a descriptive variable so the gap is visible. IPEDS calls the international category 'U.S. nonresident' because the underlying variable is visa status, not race. The pipeline labels it pct_international for readability; the underlying meaning is documented in the variables coverage_note.</w:t>
      </w:r>
    </w:p>
    <w:p>
      <w:pPr>
        <w:spacing w:after="120"/>
      </w:pPr>
      <w:r>
        <w:rPr>
          <w:rFonts w:ascii="Arial" w:cs="Arial" w:eastAsia="Arial" w:hAnsi="Arial"/>
          <w:sz w:val="22"/>
          <w:szCs w:val="22"/>
        </w:rPr>
        <w:t xml:space="preserve">The detailed IPEDS race/ethnicity breakdown (pct_black, pct_hispanic, pct_asian, pct_nhpi, pct_aian, pct_two_or_more, pct_race_unknown) is carried alongside the clustering trio. All seven are tagged use_type = descriptive — useful for institutional profiles even though clustering math uses only the trio.</w:t>
      </w:r>
    </w:p>
    <w:p>
      <w:pPr>
        <w:pStyle w:val="Heading2"/>
        <w:spacing w:after="120" w:before="240"/>
      </w:pPr>
      <w:r>
        <w:rPr>
          <w:rFonts w:ascii="Arial" w:cs="Arial" w:eastAsia="Arial" w:hAnsi="Arial"/>
          <w:b/>
          <w:bCs/>
          <w:sz w:val="26"/>
          <w:szCs w:val="26"/>
        </w:rPr>
        <w:t xml:space="preserve">Two CDS-sourced metrics: residential_share, pct_first_generation</w:t>
      </w:r>
    </w:p>
    <w:p>
      <w:pPr>
        <w:pStyle w:val="Heading3"/>
        <w:spacing w:after="100" w:before="200"/>
      </w:pPr>
      <w:r>
        <w:rPr>
          <w:rFonts w:ascii="Arial" w:cs="Arial" w:eastAsia="Arial" w:hAnsi="Arial"/>
          <w:b/>
          <w:bCs/>
          <w:sz w:val="24"/>
          <w:szCs w:val="24"/>
        </w:rPr>
        <w:t xml:space="preserve">residential_share (Academic Insights metric 74)</w:t>
      </w:r>
    </w:p>
    <w:p>
      <w:pPr>
        <w:spacing w:after="120"/>
      </w:pPr>
      <w:r>
        <w:rPr>
          <w:rFonts w:ascii="Arial" w:cs="Arial" w:eastAsia="Arial" w:hAnsi="Arial"/>
          <w:sz w:val="22"/>
          <w:szCs w:val="22"/>
        </w:rPr>
        <w:t xml:space="preserve">Share of undergraduates living on campus, from the Common Data Set via Academic Insights. Yearly pull pattern with +2 offset (AI year = IPEDS year + 2). Coverage approximately 40% of universe across the panel — CDS respondents only. Holy Cross spot-checks 87-90% across the panel, consistent with HC's published ~94% residential rate (slight gap reflects methodological differences in what counts as 'on campus').</w:t>
      </w:r>
    </w:p>
    <w:p>
      <w:pPr>
        <w:pStyle w:val="Heading3"/>
        <w:spacing w:after="100" w:before="200"/>
      </w:pPr>
      <w:r>
        <w:rPr>
          <w:rFonts w:ascii="Arial" w:cs="Arial" w:eastAsia="Arial" w:hAnsi="Arial"/>
          <w:b/>
          <w:bCs/>
          <w:sz w:val="24"/>
          <w:szCs w:val="24"/>
        </w:rPr>
        <w:t xml:space="preserve">pct_first_generation (Scorecard share_firstgeneration)</w:t>
      </w:r>
    </w:p>
    <w:p>
      <w:pPr>
        <w:spacing w:after="120"/>
      </w:pPr>
      <w:r>
        <w:rPr>
          <w:rFonts w:ascii="Arial" w:cs="Arial" w:eastAsia="Arial" w:hAnsi="Arial"/>
          <w:sz w:val="22"/>
          <w:szCs w:val="22"/>
        </w:rPr>
        <w:t xml:space="preserve">Share of FAFSA-filing undergraduates whose parents do not hold a bachelor's degree. Originally planned as an Academic Insights pull, but diagnostic testing revealed that AI's catalog exposes several first-gen percentage metrics, none of which deliver usable data for our panel:</w:t>
      </w:r>
    </w:p>
    <w:p>
      <w:pPr>
        <w:pStyle w:val="ListParagraph"/>
        <w:numPr>
          <w:ilvl w:val="0"/>
          <w:numId w:val="2"/>
        </w:numPr>
        <w:spacing w:after="80"/>
      </w:pPr>
      <w:r>
        <w:rPr>
          <w:rFonts w:ascii="Arial" w:cs="Arial" w:eastAsia="Arial" w:hAnsi="Arial"/>
          <w:sz w:val="22"/>
          <w:szCs w:val="22"/>
        </w:rPr>
        <w:t xml:space="preserve">AI metric 731 ('Undergraduates who are first generation', Scorecard-sourced in AI): returns data only for AI years 2020-2021, which translate to IPEDS years 2018-2019 — outside our panel. Holy Cross value of 17% is also inflated relative to HC's published ~12% first-gen rate, suggesting the metric is the combined first-generation-and-low-income field, not first-generation alone.</w:t>
      </w:r>
    </w:p>
    <w:p>
      <w:pPr>
        <w:pStyle w:val="ListParagraph"/>
        <w:numPr>
          <w:ilvl w:val="0"/>
          <w:numId w:val="2"/>
        </w:numPr>
        <w:spacing w:after="80"/>
      </w:pPr>
      <w:r>
        <w:rPr>
          <w:rFonts w:ascii="Arial" w:cs="Arial" w:eastAsia="Arial" w:hAnsi="Arial"/>
          <w:sz w:val="22"/>
          <w:szCs w:val="22"/>
        </w:rPr>
        <w:t xml:space="preserve">AI metric 1014 ('First generation proportion', Outcome Measures family): returns Holy Cross value of 42, implausibly high. The metric measures first-gen share within the IPEDS OM cohort (first-time + transfer + part-time entrants), which is a different population from the full undergraduate body.</w:t>
      </w:r>
    </w:p>
    <w:p>
      <w:pPr>
        <w:pStyle w:val="ListParagraph"/>
        <w:numPr>
          <w:ilvl w:val="0"/>
          <w:numId w:val="2"/>
        </w:numPr>
        <w:spacing w:after="80"/>
      </w:pPr>
      <w:r>
        <w:rPr>
          <w:rFonts w:ascii="Arial" w:cs="Arial" w:eastAsia="Arial" w:hAnsi="Arial"/>
          <w:sz w:val="22"/>
          <w:szCs w:val="22"/>
        </w:rPr>
        <w:t xml:space="preserve">AI metrics 1027/1028/1029 ('First generation student % (latest year / one year older / two years older)'): return Holy Cross values of 0.4, 0.4, 0.5 — values with unclear units, returned only for AI year 2024 (one-year snapshot).</w:t>
      </w:r>
    </w:p>
    <w:p>
      <w:pPr>
        <w:spacing w:after="120"/>
      </w:pPr>
      <w:r>
        <w:rPr>
          <w:rFonts w:ascii="Arial" w:cs="Arial" w:eastAsia="Arial" w:hAnsi="Arial"/>
          <w:sz w:val="22"/>
          <w:szCs w:val="22"/>
        </w:rPr>
        <w:t xml:space="preserve">Pivoted to College Scorecard's latest.student.share_firstgeneration field. Holy Cross value = 16.6%, consistent with HC's profile (slightly higher than CDS-reported ~12% because Scorecard's denominator is FAFSA filers only — first-gen students file FAFSA at higher rates, so the share among aid recipients runs a couple percentage points above the full UG-population share). Direction-of-signal is correct for clustering; absolute values typically run slightly elevated.</w:t>
      </w:r>
    </w:p>
    <w:p>
      <w:pPr>
        <w:spacing w:after="120"/>
      </w:pPr>
      <w:r>
        <w:rPr>
          <w:rFonts w:ascii="Arial" w:cs="Arial" w:eastAsia="Arial" w:hAnsi="Arial"/>
          <w:sz w:val="22"/>
          <w:szCs w:val="22"/>
        </w:rPr>
        <w:t xml:space="preserve">Single 2024 snapshot. Scorecard does not expose year-versioned paths for this field — diagnostic testing confirmed all 2018-2023 year prefixes return NULL. The 'latest' snapshot is the only available option. Stored under panel year 2024 only. Same convention as Scorecard earnings in the Outcomes module.</w:t>
      </w:r>
    </w:p>
    <w:p>
      <w:pPr>
        <w:spacing w:after="120"/>
      </w:pPr>
      <w:r>
        <w:rPr>
          <w:rFonts w:ascii="Arial" w:cs="Arial" w:eastAsia="Arial" w:hAnsi="Arial"/>
          <w:sz w:val="22"/>
          <w:szCs w:val="22"/>
        </w:rPr>
        <w:t xml:space="preserve">Within-Scorecard coverage approximately 74%. Scorecard's universe is approximately 2,047 of our 2,598 IPEDS-derived institutions (the gap is institutions not participating in Title IV federal aid programs). Effective project-wide coverage approximately 58% at the latest year.</w:t>
      </w:r>
    </w:p>
    <w:p>
      <w:pPr>
        <w:pStyle w:val="Heading3"/>
        <w:spacing w:after="100" w:before="200"/>
      </w:pPr>
      <w:r>
        <w:rPr>
          <w:rFonts w:ascii="Arial" w:cs="Arial" w:eastAsia="Arial" w:hAnsi="Arial"/>
          <w:b/>
          <w:bCs/>
          <w:sz w:val="24"/>
          <w:szCs w:val="24"/>
        </w:rPr>
        <w:t xml:space="preserve">median_family_income (Scorecard median_family_income)</w:t>
      </w:r>
    </w:p>
    <w:p>
      <w:pPr>
        <w:spacing w:after="120"/>
      </w:pPr>
      <w:r>
        <w:rPr>
          <w:rFonts w:ascii="Arial" w:cs="Arial" w:eastAsia="Arial" w:hAnsi="Arial"/>
          <w:sz w:val="22"/>
          <w:szCs w:val="22"/>
        </w:rPr>
        <w:t xml:space="preserve">Median family income among FAFSA filers, from Scorecard's latest.student.demographics.median_family_income field. Added alongside pct_first_generation in the same Scorecard pull. Captures the overall income composition of the student body as a single value, complementing the binary Pell flag and the parental-education first-gen measure.</w:t>
      </w:r>
    </w:p>
    <w:p>
      <w:pPr>
        <w:spacing w:after="120"/>
      </w:pPr>
      <w:r>
        <w:rPr>
          <w:rFonts w:ascii="Arial" w:cs="Arial" w:eastAsia="Arial" w:hAnsi="Arial"/>
          <w:sz w:val="22"/>
          <w:szCs w:val="22"/>
        </w:rPr>
        <w:t xml:space="preserve">Honest caveat: the FAFSA-filer denominator means higher-income students who do not file FAFSA are excluded, so the reported value typically understates the true student-body family income. Useful as a clustering signal (institutions with broadly lower-income students cluster lower; institutions with broadly higher-income students cluster higher), but should not be used as an absolute measure of the student body's family income.</w:t>
      </w:r>
    </w:p>
    <w:p>
      <w:pPr>
        <w:spacing w:after="120"/>
      </w:pPr>
      <w:r>
        <w:rPr>
          <w:rFonts w:ascii="Arial" w:cs="Arial" w:eastAsia="Arial" w:hAnsi="Arial"/>
          <w:sz w:val="22"/>
          <w:szCs w:val="22"/>
        </w:rPr>
        <w:t xml:space="preserve">Holy Cross 2024 value: approximately $106,778. Plausible for a selective Jesuit LAC; on the lower side of typical published estimates for HC, consistent with the FAFSA-filer denominator effect.</w:t>
      </w:r>
    </w:p>
    <w:p>
      <w:pPr>
        <w:pStyle w:val="Heading2"/>
        <w:spacing w:after="120" w:before="240"/>
      </w:pPr>
      <w:r>
        <w:rPr>
          <w:rFonts w:ascii="Arial" w:cs="Arial" w:eastAsia="Arial" w:hAnsi="Arial"/>
          <w:b/>
          <w:bCs/>
          <w:sz w:val="26"/>
          <w:szCs w:val="26"/>
        </w:rPr>
        <w:t xml:space="preserve">Coverage characteristics</w:t>
      </w:r>
    </w:p>
    <w:p>
      <w:pPr>
        <w:spacing w:after="120"/>
      </w:pPr>
      <w:r>
        <w:rPr>
          <w:rFonts w:ascii="Arial" w:cs="Arial" w:eastAsia="Arial" w:hAnsi="Arial"/>
          <w:sz w:val="22"/>
          <w:szCs w:val="22"/>
        </w:rPr>
        <w:t xml:space="preserve">Most IPEDS-source variables in this module hit 93% coverage across both private NFP and public. residential_share covers ~40% (CDS respondents). Scorecard variables cover ~58-73% project-wide at the single year they target.</w:t>
      </w:r>
    </w:p>
    <w:p>
      <w:pPr>
        <w:pStyle w:val="Heading1"/>
        <w:pageBreakBefore/>
        <w:spacing w:after="180" w:before="360"/>
      </w:pPr>
      <w:r>
        <w:rPr>
          <w:rFonts w:ascii="Arial" w:cs="Arial" w:eastAsia="Arial" w:hAnsi="Arial"/>
          <w:b/>
          <w:bCs/>
          <w:sz w:val="32"/>
          <w:szCs w:val="32"/>
        </w:rPr>
        <w:t xml:space="preserve">Outcomes Module</w:t>
      </w:r>
    </w:p>
    <w:p>
      <w:pPr>
        <w:spacing w:after="120"/>
      </w:pPr>
      <w:r>
        <w:rPr>
          <w:rFonts w:ascii="Arial" w:cs="Arial" w:eastAsia="Arial" w:hAnsi="Arial"/>
          <w:sz w:val="22"/>
          <w:szCs w:val="22"/>
        </w:rPr>
        <w:t xml:space="preserve">Twelve metrics characterizing graduation rates, retention, equity gaps in completion, post-attendance earnings, loan repayment, and one Carnegie SAEC composite measuring earnings vs demographic expectation. This is the only module integrating four data sources: IPEDS, College Scorecard, Academic Insights, and Carnegie.</w:t>
      </w:r>
    </w:p>
    <w:p>
      <w:pPr>
        <w:pStyle w:val="Heading2"/>
        <w:spacing w:after="120" w:before="240"/>
      </w:pPr>
      <w:r>
        <w:rPr>
          <w:rFonts w:ascii="Arial" w:cs="Arial" w:eastAsia="Arial" w:hAnsi="Arial"/>
          <w:b/>
          <w:bCs/>
          <w:sz w:val="26"/>
          <w:szCs w:val="26"/>
        </w:rPr>
        <w:t xml:space="preserve">Variables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400"/>
      </w:tblGrid>
      <w:tr>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grad_rate_6yr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DRVGR.GBA6RTT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grad_rate_4yr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DRVGR.GBA4RTT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retention_rate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EF_D.RET_PCF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transfer_out_rate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DRVGR.TRRTTOT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pell_grad_gap</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Derived: DRVOM (Pell − non-Pell 6-yr)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grad_rate_men_vs_women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Derived: DRVGR (women − men)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Exploratory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doctoral_degrees_awarded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DRVC.DOCDEGRS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Descriptive, neche_peer_set,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median_earnings_10yr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Scorecard latest.earnings.10_yrs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single 2024 snapshot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median_earnings_6yr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Scorecard latest.earnings.6_yrs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single 2024 snapshot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loan_repayment_rate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Scorecard latest.repayment.3_yr.completers_rate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single 2024 snapshot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first_gen_grad_rate_6yr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Academic Insights metric 1116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cohort-anchored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earnings_ratio</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Carnegie 2025 SAEC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single 2024 snapshot</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sz w:val="26"/>
          <w:szCs w:val="26"/>
        </w:rPr>
        <w:t xml:space="preserve">IPEDS for grad / retention / completions</w:t>
      </w:r>
    </w:p>
    <w:p>
      <w:pPr>
        <w:spacing w:after="120"/>
      </w:pPr>
      <w:r>
        <w:rPr>
          <w:rFonts w:ascii="Arial" w:cs="Arial" w:eastAsia="Arial" w:hAnsi="Arial"/>
          <w:sz w:val="22"/>
          <w:szCs w:val="22"/>
        </w:rPr>
        <w:t xml:space="preserve">Graduation rates come from DRVGR{year}, which precomputes the 4-year and 6-year bachelor's rates (GBA4RTT, GBA6RTT) and the transfer-out rate (TRRTTOT). No row-level filtering needed. Retention is RET_PCF from EF{year}D (full-time first-year retention, the standard headline measure). Doctoral degrees awarded comes from DRVC.DOCDEGRS — research/scholarship doctorates only, matching NECHE's definition and excluding professional-practice doctorates (MDs, JDs).</w:t>
      </w:r>
    </w:p>
    <w:p>
      <w:pPr>
        <w:pStyle w:val="Heading2"/>
        <w:spacing w:after="120" w:before="240"/>
      </w:pPr>
      <w:r>
        <w:rPr>
          <w:rFonts w:ascii="Arial" w:cs="Arial" w:eastAsia="Arial" w:hAnsi="Arial"/>
          <w:b/>
          <w:bCs/>
          <w:sz w:val="26"/>
          <w:szCs w:val="26"/>
        </w:rPr>
        <w:t xml:space="preserve">Pell graduation gap</w:t>
      </w:r>
    </w:p>
    <w:p>
      <w:pPr>
        <w:spacing w:after="120"/>
      </w:pPr>
      <w:r>
        <w:rPr>
          <w:rFonts w:ascii="Arial" w:cs="Arial" w:eastAsia="Arial" w:hAnsi="Arial"/>
          <w:sz w:val="22"/>
          <w:szCs w:val="22"/>
        </w:rPr>
        <w:t xml:space="preserve">pell_grad_gap is computed as DRVOM.OM1PELLAWDP6 − OM1NPELAWDP6: the 6-year award rate of Pell recipients minus the rate of non-Pell recipients, in percentage points. Negative values mean Pell students underperform non-Pell at the institution; positive values mean the reverse. Typically negative across most U.S. institutions, with magnitude indicating gap size.</w:t>
      </w:r>
    </w:p>
    <w:p>
      <w:pPr>
        <w:spacing w:after="120"/>
      </w:pPr>
      <w:r>
        <w:rPr>
          <w:rFonts w:ascii="Arial" w:cs="Arial" w:eastAsia="Arial" w:hAnsi="Arial"/>
          <w:sz w:val="22"/>
          <w:szCs w:val="22"/>
        </w:rPr>
        <w:t xml:space="preserve">The '1' prefix in the OM variables refers to cohort 1 (full-time first-time), the canonical IPEDS aid-survey cohort. 6-year cohort length matches grad_rate_6yr for interpretability.</w:t>
      </w:r>
    </w:p>
    <w:p>
      <w:pPr>
        <w:pStyle w:val="Heading2"/>
        <w:spacing w:after="120" w:before="240"/>
      </w:pPr>
      <w:r>
        <w:rPr>
          <w:rFonts w:ascii="Arial" w:cs="Arial" w:eastAsia="Arial" w:hAnsi="Arial"/>
          <w:b/>
          <w:bCs/>
          <w:sz w:val="26"/>
          <w:szCs w:val="26"/>
        </w:rPr>
        <w:t xml:space="preserve">First-gen graduation rate stored as a level</w:t>
      </w:r>
    </w:p>
    <w:p>
      <w:pPr>
        <w:spacing w:after="120"/>
      </w:pPr>
      <w:r>
        <w:rPr>
          <w:rFonts w:ascii="Arial" w:cs="Arial" w:eastAsia="Arial" w:hAnsi="Arial"/>
          <w:sz w:val="22"/>
          <w:szCs w:val="22"/>
        </w:rPr>
        <w:t xml:space="preserve">The original design called for a 'first-gen vs continuing-gen graduation rate gap.' Academic Insights does not expose such a gap directly. AI metric 1116 gives the first-gen 6-year graduation rate but no continuing-gen rate to subtract from. Rather than construct a gap from imperfect inputs, the module stores the first-gen rate as a level. Downstream applications construct whatever gap comparison fits their use case.</w:t>
      </w:r>
    </w:p>
    <w:p>
      <w:pPr>
        <w:spacing w:after="120"/>
      </w:pPr>
      <w:r>
        <w:rPr>
          <w:rFonts w:ascii="Arial" w:cs="Arial" w:eastAsia="Arial" w:hAnsi="Arial"/>
          <w:sz w:val="22"/>
          <w:szCs w:val="22"/>
        </w:rPr>
        <w:t xml:space="preserve">Same principle the data layer uses elsewhere: store cleanly-measured components, derive comparisons downstream. Approximately 25% project coverage (the metric is cohort-anchored and lands under panel year 2024 for most institutions).</w:t>
      </w:r>
    </w:p>
    <w:p>
      <w:pPr>
        <w:pStyle w:val="Heading2"/>
        <w:spacing w:after="120" w:before="240"/>
      </w:pPr>
      <w:r>
        <w:rPr>
          <w:rFonts w:ascii="Arial" w:cs="Arial" w:eastAsia="Arial" w:hAnsi="Arial"/>
          <w:b/>
          <w:bCs/>
          <w:sz w:val="26"/>
          <w:szCs w:val="26"/>
        </w:rPr>
        <w:t xml:space="preserve">Scorecard earnings and repayment</w:t>
      </w:r>
    </w:p>
    <w:p>
      <w:pPr>
        <w:spacing w:after="120"/>
      </w:pPr>
      <w:r>
        <w:rPr>
          <w:rFonts w:ascii="Arial" w:cs="Arial" w:eastAsia="Arial" w:hAnsi="Arial"/>
          <w:sz w:val="22"/>
          <w:szCs w:val="22"/>
        </w:rPr>
        <w:t xml:space="preserve">College Scorecard earnings data have substantial observational lag. The '10 years after entry' earnings reported in the latest Scorecard release reflect the working income of ~2012 entrants observed around 2022. Storing these earnings year-versioned across the panel would falsely imply year-over-year measurement. Instead, the pipeline pulls the latest available Scorecard cohort and writes all Scorecard metrics under panel year 2024.</w:t>
      </w:r>
    </w:p>
    <w:p>
      <w:pPr>
        <w:spacing w:after="120"/>
      </w:pPr>
      <w:r>
        <w:rPr>
          <w:rFonts w:ascii="Arial" w:cs="Arial" w:eastAsia="Arial" w:hAnsi="Arial"/>
          <w:sz w:val="22"/>
          <w:szCs w:val="22"/>
        </w:rPr>
        <w:t xml:space="preserve">The Scorecard pull is filtered to school.degrees_awarded.predominant in range 3..4 (bachelor or higher predominant) and school.ownership in 1,2 (public + private NFP), matching the IPEDS SECTOR 1/2 universe. Matching is by unitid (Scorecard's id field). Schools outside Scorecard's universe yield NA values for all Scorecard variables.</w:t>
      </w:r>
    </w:p>
    <w:p>
      <w:pPr>
        <w:pStyle w:val="Heading3"/>
        <w:spacing w:after="100" w:before="200"/>
      </w:pPr>
      <w:r>
        <w:rPr>
          <w:rFonts w:ascii="Arial" w:cs="Arial" w:eastAsia="Arial" w:hAnsi="Arial"/>
          <w:b/>
          <w:bCs/>
          <w:sz w:val="24"/>
          <w:szCs w:val="24"/>
        </w:rPr>
        <w:t xml:space="preserve">loan_repayment_rate field path correction</w:t>
      </w:r>
    </w:p>
    <w:p>
      <w:pPr>
        <w:spacing w:after="120"/>
      </w:pPr>
      <w:r>
        <w:rPr>
          <w:rFonts w:ascii="Arial" w:cs="Arial" w:eastAsia="Arial" w:hAnsi="Arial"/>
          <w:sz w:val="22"/>
          <w:szCs w:val="22"/>
        </w:rPr>
        <w:t xml:space="preserve">During development of the consolidated v1, a field-path bug was identified and corrected. The original path latest.repayment.3_yr_repayment.completers returns the count of completers in the 3-year repayment cohort (HC value: 668 completers), not the repayment rate. The corrected path latest.repayment.3_yr_repayment.completers_rate returns the rate itself (HC value: 0.889 = 88.9% after normalization). Scorecard's naming convention is asymmetric — bare field names like 'completers' are counts, while sibling fields with _rate suffix are the corresponding rates.</w:t>
      </w:r>
    </w:p>
    <w:p>
      <w:pPr>
        <w:spacing w:after="120"/>
      </w:pPr>
      <w:r>
        <w:rPr>
          <w:rFonts w:ascii="Arial" w:cs="Arial" w:eastAsia="Arial" w:hAnsi="Arial"/>
          <w:sz w:val="22"/>
          <w:szCs w:val="22"/>
        </w:rPr>
        <w:t xml:space="preserve">After the path correction and the rate-normalization ×100, Holy Cross's loan_repayment_rate lands at 88.9, consistent with HC's strong outcomes profile.</w:t>
      </w:r>
    </w:p>
    <w:p>
      <w:pPr>
        <w:pStyle w:val="Heading2"/>
        <w:spacing w:after="120" w:before="240"/>
      </w:pPr>
      <w:r>
        <w:rPr>
          <w:rFonts w:ascii="Arial" w:cs="Arial" w:eastAsia="Arial" w:hAnsi="Arial"/>
          <w:b/>
          <w:bCs/>
          <w:sz w:val="26"/>
          <w:szCs w:val="26"/>
        </w:rPr>
        <w:t xml:space="preserve">Carnegie SAEC earnings_ratio</w:t>
      </w:r>
    </w:p>
    <w:p>
      <w:pPr>
        <w:spacing w:after="120"/>
      </w:pPr>
      <w:r>
        <w:rPr>
          <w:rFonts w:ascii="Arial" w:cs="Arial" w:eastAsia="Arial" w:hAnsi="Arial"/>
          <w:sz w:val="22"/>
          <w:szCs w:val="22"/>
        </w:rPr>
        <w:t xml:space="preserve">From the Carnegie 2025 Public Data File's Student Access and Earnings Classification. CCIHE's computation of actual earnings divided by expected earnings given the institution's demographic profile. A value of 1.0 means graduates earn exactly what would be expected for students like theirs; values above 1.0 indicate outperformance, below 1.0 indicate underperformance. Holy Cross's value of approximately 1.98 means HC graduates earn nearly twice what would be expected for their demographic profile.</w:t>
      </w:r>
    </w:p>
    <w:p>
      <w:pPr>
        <w:spacing w:after="120"/>
      </w:pPr>
      <w:r>
        <w:rPr>
          <w:rFonts w:ascii="Arial" w:cs="Arial" w:eastAsia="Arial" w:hAnsi="Arial"/>
          <w:sz w:val="22"/>
          <w:szCs w:val="22"/>
        </w:rPr>
        <w:t xml:space="preserve">One-time CCIHE snapshot rather than a panel measure — methodology was constructed from 2020-2023 data and applied to the 2025 classification. Joined into schools.csv from the Carnegie file (alongside other Carnegie classifications) and also written to out_facts.csv under panel year 2024. The intentional duplication lets the variable be both an institutional reference attribute and a tagged outcomes-catalog member.</w:t>
      </w:r>
    </w:p>
    <w:p>
      <w:pPr>
        <w:pStyle w:val="Heading2"/>
        <w:spacing w:after="120" w:before="240"/>
      </w:pPr>
      <w:r>
        <w:rPr>
          <w:rFonts w:ascii="Arial" w:cs="Arial" w:eastAsia="Arial" w:hAnsi="Arial"/>
          <w:b/>
          <w:bCs/>
          <w:sz w:val="26"/>
          <w:szCs w:val="26"/>
        </w:rPr>
        <w:t xml:space="preserve">Accreditor as a schools.csv attribute</w:t>
      </w:r>
    </w:p>
    <w:p>
      <w:pPr>
        <w:spacing w:after="120"/>
      </w:pPr>
      <w:r>
        <w:rPr>
          <w:rFonts w:ascii="Arial" w:cs="Arial" w:eastAsia="Arial" w:hAnsi="Arial"/>
          <w:sz w:val="22"/>
          <w:szCs w:val="22"/>
        </w:rPr>
        <w:t xml:space="preserve">The schools_pipeline.R update accompanying this module pulls each institution's accreditor from College Scorecard, writing it to schools.csv as an institutional attribute. The accreditor is a filter/scope field for the downstream application (e.g., 'show me peers accredited by the same agency') and is not used as a clustering variable because it largely re-encodes geography and sector.</w:t>
      </w:r>
    </w:p>
    <w:p>
      <w:pPr>
        <w:pStyle w:val="Heading2"/>
        <w:spacing w:after="120" w:before="240"/>
      </w:pPr>
      <w:r>
        <w:rPr>
          <w:rFonts w:ascii="Arial" w:cs="Arial" w:eastAsia="Arial" w:hAnsi="Arial"/>
          <w:b/>
          <w:bCs/>
          <w:sz w:val="26"/>
          <w:szCs w:val="26"/>
        </w:rPr>
        <w:t xml:space="preserve">NECHE peer-set completion</w:t>
      </w:r>
    </w:p>
    <w:p>
      <w:pPr>
        <w:spacing w:after="120"/>
      </w:pPr>
      <w:r>
        <w:rPr>
          <w:rFonts w:ascii="Arial" w:cs="Arial" w:eastAsia="Arial" w:hAnsi="Arial"/>
          <w:sz w:val="22"/>
          <w:szCs w:val="22"/>
        </w:rPr>
        <w:t xml:space="preserve">doctoral_degrees_awarded is the seventh and final NECHE peer-set metric. The full set is now distributed across modules: four enrollment counts in Enrollment, the Pell count in Aid, the HERD average in Finance &amp; Resources, and research doctorates here. Downstream applications reassemble the NECHE peer set by filtering neche_peer_set = TRUE across all module facts files.</w:t>
      </w:r>
    </w:p>
    <w:p>
      <w:pPr>
        <w:pStyle w:val="Heading1"/>
        <w:pageBreakBefore/>
        <w:spacing w:after="180" w:before="360"/>
      </w:pPr>
      <w:r>
        <w:rPr>
          <w:rFonts w:ascii="Arial" w:cs="Arial" w:eastAsia="Arial" w:hAnsi="Arial"/>
          <w:b/>
          <w:bCs/>
          <w:sz w:val="32"/>
          <w:szCs w:val="32"/>
        </w:rPr>
        <w:t xml:space="preserve">Finance &amp; Resources Module</w:t>
      </w:r>
    </w:p>
    <w:p>
      <w:pPr>
        <w:spacing w:after="120"/>
      </w:pPr>
      <w:r>
        <w:rPr>
          <w:rFonts w:ascii="Arial" w:cs="Arial" w:eastAsia="Arial" w:hAnsi="Arial"/>
          <w:sz w:val="22"/>
          <w:szCs w:val="22"/>
        </w:rPr>
        <w:t xml:space="preserve">Seventeen variables capturing institutional financial position and resource intensity — the data layer for clustering schools by financial strength, spending priorities, and instructional resources. Eight finance variables and nine resources variables, organized into two category labels within a single module file.</w:t>
      </w:r>
    </w:p>
    <w:p>
      <w:pPr>
        <w:pStyle w:val="Heading2"/>
        <w:spacing w:after="120" w:before="240"/>
      </w:pPr>
      <w:r>
        <w:rPr>
          <w:rFonts w:ascii="Arial" w:cs="Arial" w:eastAsia="Arial" w:hAnsi="Arial"/>
          <w:b/>
          <w:bCs/>
          <w:sz w:val="26"/>
          <w:szCs w:val="26"/>
        </w:rPr>
        <w:t xml:space="preserve">Variables</w:t>
      </w:r>
    </w:p>
    <w:p>
      <w:pPr>
        <w:pStyle w:val="Heading3"/>
        <w:spacing w:after="100" w:before="200"/>
      </w:pPr>
      <w:r>
        <w:rPr>
          <w:rFonts w:ascii="Arial" w:cs="Arial" w:eastAsia="Arial" w:hAnsi="Arial"/>
          <w:b/>
          <w:bCs/>
          <w:sz w:val="24"/>
          <w:szCs w:val="24"/>
        </w:rPr>
        <w:t xml:space="preserve">Finance (8)</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400"/>
      </w:tblGrid>
      <w:tr>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endowment_per_fte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DRVF.F1ENDMFT / F2ENDMFT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endowment_coverage_years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Derived: endowment × FTE ÷ core_expenses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tuition_share_of_expenses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Derived: tuition × FTE ÷ core_expenses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core_expenses_per_fte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DRVF.F1COREXP / F2COREXP ÷ FTE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operating_margin_ex_inv_return_per_fte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Derived (see Volatility section)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net_assets_per_fte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F1A.F1H02 / F2.F2H02 ÷ FTE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published_tuition_fees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IC{yr}_AY or COST1_2024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herd_avg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Carnegie 2025 herd_avg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Descriptive, neche_peer_set</w:t>
            </w:r>
          </w:p>
        </w:tc>
      </w:tr>
    </w:tbl>
    <w:p>
      <w:pPr>
        <w:spacing w:after="120"/>
      </w:pPr>
      <w:r>
        <w:rPr>
          <w:rFonts w:ascii="Arial" w:cs="Arial" w:eastAsia="Arial" w:hAnsi="Arial"/>
          <w:sz w:val="22"/>
          <w:szCs w:val="22"/>
        </w:rPr>
        <w:t xml:space="preserve"/>
      </w:r>
    </w:p>
    <w:p>
      <w:pPr>
        <w:pStyle w:val="Heading3"/>
        <w:spacing w:after="100" w:before="200"/>
      </w:pPr>
      <w:r>
        <w:rPr>
          <w:rFonts w:ascii="Arial" w:cs="Arial" w:eastAsia="Arial" w:hAnsi="Arial"/>
          <w:b/>
          <w:bCs/>
          <w:sz w:val="24"/>
          <w:szCs w:val="24"/>
        </w:rPr>
        <w:t xml:space="preserve">Resources (9)</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400"/>
      </w:tblGrid>
      <w:tr>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student_faculty_ratio</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Derived: DRVEF.FTE ÷ DRVHR.SFTEINST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tenure_track_share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Derived from S_IS (FACSTAT 20+30 ÷ 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avg_ft_faculty_salary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Derived from SAL_IS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instruction_per_fte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DRVF.F1INSTFT / F2INSTFT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(within),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academic_support_per_fte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DRVF.F1ACSPFT / F2ACSPFT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(within),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student_services_per_fte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DRVF.F1STSVFT / F2STSVFT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(within),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instructional_share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DRVF.F1INSTPC / F2INSTPC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 neche_dashboard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pct_classes_under_20</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Academic Insights metric 81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pct_classes_50plus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Academic Insights metric 82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Clustering</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sz w:val="26"/>
          <w:szCs w:val="26"/>
        </w:rPr>
        <w:t xml:space="preserve">Form awareness: FASB vs GASB</w:t>
      </w:r>
    </w:p>
    <w:p>
      <w:pPr>
        <w:spacing w:after="120"/>
      </w:pPr>
      <w:r>
        <w:rPr>
          <w:rFonts w:ascii="Arial" w:cs="Arial" w:eastAsia="Arial" w:hAnsi="Arial"/>
          <w:sz w:val="22"/>
          <w:szCs w:val="22"/>
        </w:rPr>
        <w:t xml:space="preserve">The single biggest engineering challenge in this module is that institutions report finance data on different forms depending on accounting standard: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00"/>
      </w:tblGrid>
      <w:tr>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IPEDS Form</w:t>
            </w:r>
          </w:p>
        </w:tc>
        <w:tc>
          <w:tcPr>
            <w:tcW w:type="dxa" w:w="4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Used By (Sector)</w:t>
            </w:r>
          </w:p>
        </w:tc>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Accounting Standard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F1A</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Public 4-year (SECTOR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GASB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F2</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Private NFP 4-year (SECTOR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For-profit (excluded from this module)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Reduced reporting</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These forms have different table schemas and different column names. Tuition revenue, for example, lives in F1B01 on the public form and F2D01 on the private form. The two forms also use different revenue definitions: GASB separates operating from non-operating revenue (where investment return lives); FASB bundles investment return into total revenue.</w:t>
      </w:r>
    </w:p>
    <w:p>
      <w:pPr>
        <w:spacing w:after="120"/>
      </w:pPr>
      <w:r>
        <w:rPr>
          <w:rFonts w:ascii="Arial" w:cs="Arial" w:eastAsia="Arial" w:hAnsi="Arial"/>
          <w:sz w:val="22"/>
          <w:szCs w:val="22"/>
        </w:rPr>
        <w:t xml:space="preserve">The pipeline relies heavily on IPEDS's DRVF (derived finance) table, which precomputes cross-form values with column prefixes F1* (GASB) and F2* (FASB) on a per-institution basis. For variables without a DRVF equivalent (notably net assets), the pipeline falls back to the raw F1A or F2 table chosen by each institution's SECTOR.</w:t>
      </w:r>
    </w:p>
    <w:p>
      <w:pPr>
        <w:pStyle w:val="Heading2"/>
        <w:spacing w:after="120" w:before="240"/>
      </w:pPr>
      <w:r>
        <w:rPr>
          <w:rFonts w:ascii="Arial" w:cs="Arial" w:eastAsia="Arial" w:hAnsi="Arial"/>
          <w:b/>
          <w:bCs/>
          <w:sz w:val="26"/>
          <w:szCs w:val="26"/>
        </w:rPr>
        <w:t xml:space="preserve">FASB investment-return volatility</w:t>
      </w:r>
    </w:p>
    <w:p>
      <w:pPr>
        <w:spacing w:after="120"/>
      </w:pPr>
      <w:r>
        <w:rPr>
          <w:rFonts w:ascii="Arial" w:cs="Arial" w:eastAsia="Arial" w:hAnsi="Arial"/>
          <w:sz w:val="22"/>
          <w:szCs w:val="22"/>
        </w:rPr>
        <w:t xml:space="preserve">FASB accounting bundles investment return — both realized gains and unrealized appreciation — into the same line items as tuition, gifts, and grants. IPEDS's 'core revenue' for FASB schools is therefore highly volatile across years: it surges in good market years and collapses in down markets, even when underlying institutional operations are unchanged.</w:t>
      </w:r>
    </w:p>
    <w:p>
      <w:pPr>
        <w:spacing w:after="120"/>
      </w:pPr>
      <w:r>
        <w:rPr>
          <w:rFonts w:ascii="Arial" w:cs="Arial" w:eastAsia="Arial" w:hAnsi="Arial"/>
          <w:sz w:val="22"/>
          <w:szCs w:val="22"/>
        </w:rPr>
        <w:t xml:space="preserve">During development we initially defined four metrics that had this problem:</w:t>
      </w:r>
    </w:p>
    <w:p>
      <w:pPr>
        <w:pStyle w:val="ListParagraph"/>
        <w:numPr>
          <w:ilvl w:val="0"/>
          <w:numId w:val="2"/>
        </w:numPr>
        <w:spacing w:after="80"/>
      </w:pPr>
      <w:r>
        <w:rPr>
          <w:rFonts w:ascii="Arial" w:cs="Arial" w:eastAsia="Arial" w:hAnsi="Arial"/>
          <w:sz w:val="22"/>
          <w:szCs w:val="22"/>
        </w:rPr>
        <w:t xml:space="preserve">tuition_dependence: tuition ÷ core revenue</w:t>
      </w:r>
    </w:p>
    <w:p>
      <w:pPr>
        <w:pStyle w:val="ListParagraph"/>
        <w:numPr>
          <w:ilvl w:val="0"/>
          <w:numId w:val="2"/>
        </w:numPr>
        <w:spacing w:after="80"/>
      </w:pPr>
      <w:r>
        <w:rPr>
          <w:rFonts w:ascii="Arial" w:cs="Arial" w:eastAsia="Arial" w:hAnsi="Arial"/>
          <w:sz w:val="22"/>
          <w:szCs w:val="22"/>
        </w:rPr>
        <w:t xml:space="preserve">endowment_dependence: investment return ÷ core revenue</w:t>
      </w:r>
    </w:p>
    <w:p>
      <w:pPr>
        <w:pStyle w:val="ListParagraph"/>
        <w:numPr>
          <w:ilvl w:val="0"/>
          <w:numId w:val="2"/>
        </w:numPr>
        <w:spacing w:after="80"/>
      </w:pPr>
      <w:r>
        <w:rPr>
          <w:rFonts w:ascii="Arial" w:cs="Arial" w:eastAsia="Arial" w:hAnsi="Arial"/>
          <w:sz w:val="22"/>
          <w:szCs w:val="22"/>
        </w:rPr>
        <w:t xml:space="preserve">total_core_revenue_per_fte: core revenue ÷ FTE</w:t>
      </w:r>
    </w:p>
    <w:p>
      <w:pPr>
        <w:pStyle w:val="ListParagraph"/>
        <w:numPr>
          <w:ilvl w:val="0"/>
          <w:numId w:val="2"/>
        </w:numPr>
        <w:spacing w:after="80"/>
      </w:pPr>
      <w:r>
        <w:rPr>
          <w:rFonts w:ascii="Arial" w:cs="Arial" w:eastAsia="Arial" w:hAnsi="Arial"/>
          <w:sz w:val="22"/>
          <w:szCs w:val="22"/>
        </w:rPr>
        <w:t xml:space="preserve">operating_margin_per_fte: (core revenue − core expenses) ÷ FTE</w:t>
      </w:r>
    </w:p>
    <w:p>
      <w:pPr>
        <w:spacing w:after="120"/>
      </w:pPr>
      <w:r>
        <w:rPr>
          <w:rFonts w:ascii="Arial" w:cs="Arial" w:eastAsia="Arial" w:hAnsi="Arial"/>
          <w:sz w:val="22"/>
          <w:szCs w:val="22"/>
        </w:rPr>
        <w:t xml:space="preserve">Holy Cross's pre-fix values illustrated the issue: tuition_dependence ranged from 23% (2021) to 88% (2022). operating_margin_per_fte swung from +$94,547 in 2021 to −$20,419 in 2022. These weren't institutional changes — they were market-driven artifacts of investment-return swings.</w:t>
      </w:r>
    </w:p>
    <w:p>
      <w:pPr>
        <w:pStyle w:val="Heading3"/>
        <w:spacing w:after="100" w:before="200"/>
      </w:pPr>
      <w:r>
        <w:rPr>
          <w:rFonts w:ascii="Arial" w:cs="Arial" w:eastAsia="Arial" w:hAnsi="Arial"/>
          <w:b/>
          <w:bCs/>
          <w:sz w:val="24"/>
          <w:szCs w:val="24"/>
        </w:rPr>
        <w:t xml:space="preserve">The replacement: expense-denominated metrics</w:t>
      </w:r>
    </w:p>
    <w:p>
      <w:pPr>
        <w:spacing w:after="120"/>
      </w:pPr>
      <w:r>
        <w:rPr>
          <w:rFonts w:ascii="Arial" w:cs="Arial" w:eastAsia="Arial" w:hAnsi="Arial"/>
          <w:sz w:val="22"/>
          <w:szCs w:val="22"/>
        </w:rPr>
        <w:t xml:space="preserve">Dropped the four volatile metrics; replaced with four stable alternatives that use core expenses (which institutions budget) as the denominator or that back out investment return from FASB revenue using IPEDS's own derivation: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Old (dropped)</w:t>
            </w:r>
          </w:p>
        </w:tc>
        <w:tc>
          <w:tcPr>
            <w:tcW w:type="dxa" w:w="3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New</w:t>
            </w:r>
          </w:p>
        </w:tc>
        <w:tc>
          <w:tcPr>
            <w:tcW w:type="dxa" w:w="4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How volatility is removed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tuition_dependence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tuition_share_of_expenses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 expenses, not revenue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endowment_dependence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endowment_coverage_years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Structural ratio: endowment ÷ annual expenses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total_core_revenue_per_fte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core_expenses_per_fte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 expenses, which institutions budget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operating_margin_per_fte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operating_margin_ex_inv_return_per_fte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 out investment return using INVRPC</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Stability check on Holy Cross: operating_margin_ex_inv_return_per_fte now ranges −$1,910 (2021) to −$14,888 (2024), a $13K span across five years. Compare to the dropped operating_margin_per_fte's $115K span. The new metric correctly shows HC running a structural ~$10K-per-FTE operating deficit funded by endowment income — a real institutional characteristic, not a market artifact.</w:t>
      </w:r>
    </w:p>
    <w:p>
      <w:pPr>
        <w:pStyle w:val="Heading3"/>
        <w:spacing w:after="100" w:before="200"/>
      </w:pPr>
      <w:r>
        <w:rPr>
          <w:rFonts w:ascii="Arial" w:cs="Arial" w:eastAsia="Arial" w:hAnsi="Arial"/>
          <w:b/>
          <w:bCs/>
          <w:sz w:val="24"/>
          <w:szCs w:val="24"/>
        </w:rPr>
        <w:t xml:space="preserve">Backing out investment return: the algebra</w:t>
      </w:r>
    </w:p>
    <w:p>
      <w:pPr>
        <w:spacing w:after="120"/>
      </w:pPr>
      <w:r>
        <w:rPr>
          <w:rFonts w:ascii="Arial" w:cs="Arial" w:eastAsia="Arial" w:hAnsi="Arial"/>
          <w:sz w:val="22"/>
          <w:szCs w:val="22"/>
        </w:rPr>
        <w:t xml:space="preserve">DRVF exposes investment return as a percentage of core revenue (F1INVRPC for GASB, F2INVRPC for FASB). Given that percentage, the non-investment portion of revenue is recoverable by direct algebra:</w:t>
      </w:r>
    </w:p>
    <w:p>
      <w:pPr>
        <w:spacing w:after="80"/>
        <w:ind w:left="360"/>
      </w:pPr>
      <w:r>
        <w:rPr>
          <w:rFonts w:ascii="Courier New" w:cs="Courier New" w:eastAsia="Courier New" w:hAnsi="Courier New"/>
          <w:sz w:val="20"/>
          <w:szCs w:val="20"/>
        </w:rPr>
        <w:t xml:space="preserve">investment_return = core_revenue × (INVRPC / 100)</w:t>
      </w:r>
    </w:p>
    <w:p>
      <w:pPr>
        <w:spacing w:after="80"/>
        <w:ind w:left="360"/>
      </w:pPr>
      <w:r>
        <w:rPr>
          <w:rFonts w:ascii="Courier New" w:cs="Courier New" w:eastAsia="Courier New" w:hAnsi="Courier New"/>
          <w:sz w:val="20"/>
          <w:szCs w:val="20"/>
        </w:rPr>
        <w:t xml:space="preserve">non_inv_revenue   = core_revenue − investment_return</w:t>
      </w:r>
    </w:p>
    <w:p>
      <w:pPr>
        <w:spacing w:after="80"/>
        <w:ind w:left="360"/>
      </w:pPr>
      <w:r>
        <w:rPr>
          <w:rFonts w:ascii="Courier New" w:cs="Courier New" w:eastAsia="Courier New" w:hAnsi="Courier New"/>
          <w:sz w:val="20"/>
          <w:szCs w:val="20"/>
        </w:rPr>
        <w:t xml:space="preserve">                  = core_revenue × (1 − INVRPC/100)</w:t>
      </w:r>
    </w:p>
    <w:p>
      <w:pPr>
        <w:spacing w:after="80"/>
        <w:ind w:left="360"/>
      </w:pPr>
      <w:r>
        <w:rPr>
          <w:rFonts w:ascii="Courier New" w:cs="Courier New" w:eastAsia="Courier New" w:hAnsi="Courier New"/>
          <w:sz w:val="20"/>
          <w:szCs w:val="20"/>
        </w:rPr>
        <w:t xml:space="preserve">operating_margin  = non_inv_revenue − core_expenses</w:t>
      </w:r>
    </w:p>
    <w:p>
      <w:pPr>
        <w:spacing w:after="80"/>
        <w:ind w:left="360"/>
      </w:pPr>
      <w:r>
        <w:rPr>
          <w:rFonts w:ascii="Courier New" w:cs="Courier New" w:eastAsia="Courier New" w:hAnsi="Courier New"/>
          <w:sz w:val="20"/>
          <w:szCs w:val="20"/>
        </w:rPr>
        <w:t xml:space="preserve">per_fte           = operating_margin / FTE</w:t>
      </w:r>
    </w:p>
    <w:p>
      <w:pPr>
        <w:spacing w:after="120"/>
      </w:pPr>
      <w:r>
        <w:rPr>
          <w:rFonts w:ascii="Arial" w:cs="Arial" w:eastAsia="Arial" w:hAnsi="Arial"/>
          <w:sz w:val="22"/>
          <w:szCs w:val="22"/>
        </w:rPr>
        <w:t xml:space="preserve">The pipeline applies a sanity filter: rows with INVRPC outside (-100%, 200%) are excluded as anomalous. In practice this catches a handful of edge cases where reported data is implausible; it does not affect typical institutions.</w:t>
      </w:r>
    </w:p>
    <w:p>
      <w:pPr>
        <w:pStyle w:val="Heading2"/>
        <w:spacing w:after="120" w:before="240"/>
      </w:pPr>
      <w:r>
        <w:rPr>
          <w:rFonts w:ascii="Arial" w:cs="Arial" w:eastAsia="Arial" w:hAnsi="Arial"/>
          <w:b/>
          <w:bCs/>
          <w:sz w:val="26"/>
          <w:szCs w:val="26"/>
        </w:rPr>
        <w:t xml:space="preserve">FACSTAT codes for tenure_track_share</w:t>
      </w:r>
    </w:p>
    <w:p>
      <w:pPr>
        <w:spacing w:after="120"/>
      </w:pPr>
      <w:r>
        <w:rPr>
          <w:rFonts w:ascii="Arial" w:cs="Arial" w:eastAsia="Arial" w:hAnsi="Arial"/>
          <w:sz w:val="22"/>
          <w:szCs w:val="22"/>
        </w:rPr>
        <w:t xml:space="preserve">tenure_track_share is computed from S{yr}_IS using IPEDS HR survey FACSTAT codes (post-2017 redesign):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600"/>
      </w:tblGrid>
      <w:tr>
        <w:tc>
          <w:tcPr>
            <w:tcW w:type="dxa" w:w="1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FACSTAT</w:t>
            </w:r>
          </w:p>
        </w:tc>
        <w:tc>
          <w:tcPr>
            <w:tcW w:type="dxa" w:w="4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Role in formula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instructional staff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Denominator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With faculty status, total (parent of 20-40)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used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Tenured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Numerator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 tenure track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Numerator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on tenure track (institution has tenure system)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used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41-45</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Subdivisions of 40 by contract 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used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Without faculty 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used</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Filter to ARANK == 0 (all ranks combined) to get one row per FACSTAT category per institution. Formula: 100 × (FACSTAT 20 + FACSTAT 30) ÷ FACSTAT 0. Holy Cross 2024: 232 ÷ 333 = 69.7%.</w:t>
      </w:r>
    </w:p>
    <w:p>
      <w:pPr>
        <w:spacing w:after="120"/>
      </w:pPr>
      <w:r>
        <w:rPr>
          <w:rFonts w:ascii="Arial" w:cs="Arial" w:eastAsia="Arial" w:hAnsi="Arial"/>
          <w:sz w:val="22"/>
          <w:szCs w:val="22"/>
        </w:rPr>
        <w:t xml:space="preserve">Schools without a tenure system (no FACSTAT 20 or 30 populated, but FACSTAT 40 present) are recorded as NA rather than 0%, since 0% would conflate 'no tenure system in place' with 'tenure system exists but zero participants.'</w:t>
      </w:r>
    </w:p>
    <w:p>
      <w:pPr>
        <w:spacing w:after="120"/>
      </w:pPr>
      <w:r>
        <w:rPr>
          <w:rFonts w:ascii="Arial" w:cs="Arial" w:eastAsia="Arial" w:hAnsi="Arial"/>
          <w:sz w:val="22"/>
          <w:szCs w:val="22"/>
        </w:rPr>
        <w:t xml:space="preserve">Coverage is 49% private NFP and 83% public — the lower private coverage reflects the diversity of the private NFP universe (many smaller religious, professional, and conservatory schools have no tenure system).</w:t>
      </w:r>
    </w:p>
    <w:p>
      <w:pPr>
        <w:pStyle w:val="Heading2"/>
        <w:spacing w:after="120" w:before="240"/>
      </w:pPr>
      <w:r>
        <w:rPr>
          <w:rFonts w:ascii="Arial" w:cs="Arial" w:eastAsia="Arial" w:hAnsi="Arial"/>
          <w:b/>
          <w:bCs/>
          <w:sz w:val="26"/>
          <w:szCs w:val="26"/>
        </w:rPr>
        <w:t xml:space="preserve">Variables dropped during development</w:t>
      </w:r>
    </w:p>
    <w:p>
      <w:pPr>
        <w:spacing w:after="120"/>
      </w:pPr>
      <w:r>
        <w:rPr>
          <w:rFonts w:ascii="Arial" w:cs="Arial" w:eastAsia="Arial" w:hAnsi="Arial"/>
          <w:sz w:val="22"/>
          <w:szCs w:val="22"/>
        </w:rPr>
        <w:t xml:space="preserve">pct_faculty_full_time was initially planned as (full-time count) ÷ (total instructional staff count). The S{yr}_IS table is full-time-only by IPEDS survey design — part-time instructional staff are reported in a separate section not currently pulled. Reconstructing FT/PT would require approximation; the result would not match institution self-reports. Dropped pending a follow-up that pulls part-time data directly.</w:t>
      </w:r>
    </w:p>
    <w:p>
      <w:pPr>
        <w:spacing w:after="120"/>
      </w:pPr>
      <w:r>
        <w:rPr>
          <w:rFonts w:ascii="Arial" w:cs="Arial" w:eastAsia="Arial" w:hAnsi="Arial"/>
          <w:sz w:val="22"/>
          <w:szCs w:val="22"/>
        </w:rPr>
        <w:t xml:space="preserve">The four volatile finance metrics described above (endowment_dependence, tuition_dependence, total_core_revenue_per_fte, operating_margin_per_fte) were dropped and replaced with stable alternatives.</w:t>
      </w:r>
    </w:p>
    <w:p>
      <w:pPr>
        <w:pStyle w:val="Heading1"/>
        <w:pageBreakBefore/>
        <w:spacing w:after="180" w:before="360"/>
      </w:pPr>
      <w:r>
        <w:rPr>
          <w:rFonts w:ascii="Arial" w:cs="Arial" w:eastAsia="Arial" w:hAnsi="Arial"/>
          <w:b/>
          <w:bCs/>
          <w:sz w:val="32"/>
          <w:szCs w:val="32"/>
        </w:rPr>
        <w:t xml:space="preserve">Part III — Reproducibility and Reference</w:t>
      </w:r>
    </w:p>
    <w:p>
      <w:pPr>
        <w:pStyle w:val="Heading2"/>
        <w:spacing w:after="120" w:before="240"/>
      </w:pPr>
      <w:r>
        <w:rPr>
          <w:rFonts w:ascii="Arial" w:cs="Arial" w:eastAsia="Arial" w:hAnsi="Arial"/>
          <w:b/>
          <w:bCs/>
          <w:sz w:val="26"/>
          <w:szCs w:val="26"/>
        </w:rPr>
        <w:t xml:space="preserve">Full pipeline run procedure</w:t>
      </w:r>
    </w:p>
    <w:p>
      <w:pPr>
        <w:spacing w:after="120"/>
      </w:pPr>
      <w:r>
        <w:rPr>
          <w:rFonts w:ascii="Arial" w:cs="Arial" w:eastAsia="Arial" w:hAnsi="Arial"/>
          <w:sz w:val="22"/>
          <w:szCs w:val="22"/>
        </w:rPr>
        <w:t xml:space="preserve">From a clean working directory:</w:t>
      </w:r>
    </w:p>
    <w:p>
      <w:pPr>
        <w:spacing w:after="80"/>
        <w:ind w:left="360"/>
      </w:pPr>
      <w:r>
        <w:rPr>
          <w:rFonts w:ascii="Courier New" w:cs="Courier New" w:eastAsia="Courier New" w:hAnsi="Courier New"/>
          <w:sz w:val="20"/>
          <w:szCs w:val="20"/>
        </w:rPr>
        <w:t xml:space="preserve">setwd("path/to/peer_schools")</w:t>
      </w:r>
    </w:p>
    <w:p>
      <w:pPr>
        <w:spacing w:after="80"/>
        <w:ind w:left="360"/>
      </w:pPr>
      <w:r>
        <w:rPr>
          <w:rFonts w:ascii="Courier New" w:cs="Courier New" w:eastAsia="Courier New" w:hAnsi="Courier New"/>
          <w:sz w:val="20"/>
          <w:szCs w:val="20"/>
        </w:rPr>
        <w:t xml:space="preserve"/>
      </w:r>
    </w:p>
    <w:p>
      <w:pPr>
        <w:spacing w:after="80"/>
        <w:ind w:left="360"/>
      </w:pPr>
      <w:r>
        <w:rPr>
          <w:rFonts w:ascii="Courier New" w:cs="Courier New" w:eastAsia="Courier New" w:hAnsi="Courier New"/>
          <w:sz w:val="20"/>
          <w:szCs w:val="20"/>
        </w:rPr>
        <w:t xml:space="preserve"># API keys (or set in .Renviron and restart R)</w:t>
      </w:r>
    </w:p>
    <w:p>
      <w:pPr>
        <w:spacing w:after="80"/>
        <w:ind w:left="360"/>
      </w:pPr>
      <w:r>
        <w:rPr>
          <w:rFonts w:ascii="Courier New" w:cs="Courier New" w:eastAsia="Courier New" w:hAnsi="Courier New"/>
          <w:sz w:val="20"/>
          <w:szCs w:val="20"/>
        </w:rPr>
        <w:t xml:space="preserve">Sys.setenv(ACADEMIC_INSIGHTS_API_KEY = "...")</w:t>
      </w:r>
    </w:p>
    <w:p>
      <w:pPr>
        <w:spacing w:after="80"/>
        <w:ind w:left="360"/>
      </w:pPr>
      <w:r>
        <w:rPr>
          <w:rFonts w:ascii="Courier New" w:cs="Courier New" w:eastAsia="Courier New" w:hAnsi="Courier New"/>
          <w:sz w:val="20"/>
          <w:szCs w:val="20"/>
        </w:rPr>
        <w:t xml:space="preserve">Sys.setenv(SCORECARD_API_KEY = "...")</w:t>
      </w:r>
    </w:p>
    <w:p>
      <w:pPr>
        <w:spacing w:after="80"/>
        <w:ind w:left="360"/>
      </w:pPr>
      <w:r>
        <w:rPr>
          <w:rFonts w:ascii="Courier New" w:cs="Courier New" w:eastAsia="Courier New" w:hAnsi="Courier New"/>
          <w:sz w:val="20"/>
          <w:szCs w:val="20"/>
        </w:rPr>
        <w:t xml:space="preserve"/>
      </w:r>
    </w:p>
    <w:p>
      <w:pPr>
        <w:spacing w:after="80"/>
        <w:ind w:left="360"/>
      </w:pPr>
      <w:r>
        <w:rPr>
          <w:rFonts w:ascii="Courier New" w:cs="Courier New" w:eastAsia="Courier New" w:hAnsi="Courier New"/>
          <w:sz w:val="20"/>
          <w:szCs w:val="20"/>
        </w:rPr>
        <w:t xml:space="preserve"># 1. Build the shared schools.csv</w:t>
      </w:r>
    </w:p>
    <w:p>
      <w:pPr>
        <w:spacing w:after="80"/>
        <w:ind w:left="360"/>
      </w:pPr>
      <w:r>
        <w:rPr>
          <w:rFonts w:ascii="Courier New" w:cs="Courier New" w:eastAsia="Courier New" w:hAnsi="Courier New"/>
          <w:sz w:val="20"/>
          <w:szCs w:val="20"/>
        </w:rPr>
        <w:t xml:space="preserve">source("R/schools_pipeline.R")</w:t>
      </w:r>
    </w:p>
    <w:p>
      <w:pPr>
        <w:spacing w:after="80"/>
        <w:ind w:left="360"/>
      </w:pPr>
      <w:r>
        <w:rPr>
          <w:rFonts w:ascii="Courier New" w:cs="Courier New" w:eastAsia="Courier New" w:hAnsi="Courier New"/>
          <w:sz w:val="20"/>
          <w:szCs w:val="20"/>
        </w:rPr>
        <w:t xml:space="preserve">build_schools()</w:t>
      </w:r>
    </w:p>
    <w:p>
      <w:pPr>
        <w:spacing w:after="80"/>
        <w:ind w:left="360"/>
      </w:pPr>
      <w:r>
        <w:rPr>
          <w:rFonts w:ascii="Courier New" w:cs="Courier New" w:eastAsia="Courier New" w:hAnsi="Courier New"/>
          <w:sz w:val="20"/>
          <w:szCs w:val="20"/>
        </w:rPr>
        <w:t xml:space="preserve"/>
      </w:r>
    </w:p>
    <w:p>
      <w:pPr>
        <w:spacing w:after="80"/>
        <w:ind w:left="360"/>
      </w:pPr>
      <w:r>
        <w:rPr>
          <w:rFonts w:ascii="Courier New" w:cs="Courier New" w:eastAsia="Courier New" w:hAnsi="Courier New"/>
          <w:sz w:val="20"/>
          <w:szCs w:val="20"/>
        </w:rPr>
        <w:t xml:space="preserve"># 2. Run each module in any order</w:t>
      </w:r>
    </w:p>
    <w:p>
      <w:pPr>
        <w:spacing w:after="80"/>
        <w:ind w:left="360"/>
      </w:pPr>
      <w:r>
        <w:rPr>
          <w:rFonts w:ascii="Courier New" w:cs="Courier New" w:eastAsia="Courier New" w:hAnsi="Courier New"/>
          <w:sz w:val="20"/>
          <w:szCs w:val="20"/>
        </w:rPr>
        <w:t xml:space="preserve">source("R/aid_module_pipeline.R");                run_aid_module()</w:t>
      </w:r>
    </w:p>
    <w:p>
      <w:pPr>
        <w:spacing w:after="80"/>
        <w:ind w:left="360"/>
      </w:pPr>
      <w:r>
        <w:rPr>
          <w:rFonts w:ascii="Courier New" w:cs="Courier New" w:eastAsia="Courier New" w:hAnsi="Courier New"/>
          <w:sz w:val="20"/>
          <w:szCs w:val="20"/>
        </w:rPr>
        <w:t xml:space="preserve">source("R/admissions_module_pipeline.R");         run_admissions_module()</w:t>
      </w:r>
    </w:p>
    <w:p>
      <w:pPr>
        <w:spacing w:after="80"/>
        <w:ind w:left="360"/>
      </w:pPr>
      <w:r>
        <w:rPr>
          <w:rFonts w:ascii="Courier New" w:cs="Courier New" w:eastAsia="Courier New" w:hAnsi="Courier New"/>
          <w:sz w:val="20"/>
          <w:szCs w:val="20"/>
        </w:rPr>
        <w:t xml:space="preserve">source("R/enrollment_module_pipeline.R");         run_enrollment_module()</w:t>
      </w:r>
    </w:p>
    <w:p>
      <w:pPr>
        <w:spacing w:after="80"/>
        <w:ind w:left="360"/>
      </w:pPr>
      <w:r>
        <w:rPr>
          <w:rFonts w:ascii="Courier New" w:cs="Courier New" w:eastAsia="Courier New" w:hAnsi="Courier New"/>
          <w:sz w:val="20"/>
          <w:szCs w:val="20"/>
        </w:rPr>
        <w:t xml:space="preserve">source("R/outcomes_module_pipeline.R");           run_outcomes_module()</w:t>
      </w:r>
    </w:p>
    <w:p>
      <w:pPr>
        <w:spacing w:after="80"/>
        <w:ind w:left="360"/>
      </w:pPr>
      <w:r>
        <w:rPr>
          <w:rFonts w:ascii="Courier New" w:cs="Courier New" w:eastAsia="Courier New" w:hAnsi="Courier New"/>
          <w:sz w:val="20"/>
          <w:szCs w:val="20"/>
        </w:rPr>
        <w:t xml:space="preserve">source("R/finance_resources_module_pipeline.R");  run_finance_resources_module()</w:t>
      </w:r>
    </w:p>
    <w:p>
      <w:pPr>
        <w:spacing w:after="120"/>
      </w:pPr>
      <w:r>
        <w:rPr>
          <w:rFonts w:ascii="Arial" w:cs="Arial" w:eastAsia="Arial" w:hAnsi="Arial"/>
          <w:sz w:val="22"/>
          <w:szCs w:val="22"/>
        </w:rPr>
        <w:t xml:space="preserve">Each module writes to output/: &lt;module&gt;_facts.csv, &lt;module&gt;_variables.csv. Each prints a coverage report by metric × control group with n_years column making single-snapshot variables visible. Module runs are independent — no cross-module dependencies beyond schools.csv.</w:t>
      </w:r>
    </w:p>
    <w:p>
      <w:pPr>
        <w:pStyle w:val="Heading2"/>
        <w:spacing w:after="120" w:before="240"/>
      </w:pPr>
      <w:r>
        <w:rPr>
          <w:rFonts w:ascii="Arial" w:cs="Arial" w:eastAsia="Arial" w:hAnsi="Arial"/>
          <w:b/>
          <w:bCs/>
          <w:sz w:val="26"/>
          <w:szCs w:val="26"/>
        </w:rPr>
        <w:t xml:space="preserve">Required API keys</w:t>
      </w:r>
    </w:p>
    <w:p>
      <w:pPr>
        <w:pStyle w:val="ListParagraph"/>
        <w:numPr>
          <w:ilvl w:val="0"/>
          <w:numId w:val="2"/>
        </w:numPr>
        <w:spacing w:after="80"/>
      </w:pPr>
      <w:r>
        <w:rPr>
          <w:rFonts w:ascii="Arial" w:cs="Arial" w:eastAsia="Arial" w:hAnsi="Arial"/>
          <w:sz w:val="22"/>
          <w:szCs w:val="22"/>
        </w:rPr>
        <w:t xml:space="preserve">ACADEMIC_INSIGHTS_API_KEY — Required for any module that pulls CDS metrics (all 5 modules)</w:t>
      </w:r>
    </w:p>
    <w:p>
      <w:pPr>
        <w:pStyle w:val="ListParagraph"/>
        <w:numPr>
          <w:ilvl w:val="0"/>
          <w:numId w:val="2"/>
        </w:numPr>
        <w:spacing w:after="80"/>
      </w:pPr>
      <w:r>
        <w:rPr>
          <w:rFonts w:ascii="Arial" w:cs="Arial" w:eastAsia="Arial" w:hAnsi="Arial"/>
          <w:sz w:val="22"/>
          <w:szCs w:val="22"/>
        </w:rPr>
        <w:t xml:space="preserve">SCORECARD_API_KEY — Required for Outcomes (earnings, repayment) and Enrollment (first-gen, family income)</w:t>
      </w:r>
    </w:p>
    <w:p>
      <w:pPr>
        <w:spacing w:after="120"/>
      </w:pPr>
      <w:r>
        <w:rPr>
          <w:rFonts w:ascii="Arial" w:cs="Arial" w:eastAsia="Arial" w:hAnsi="Arial"/>
          <w:sz w:val="22"/>
          <w:szCs w:val="22"/>
        </w:rPr>
        <w:t xml:space="preserve">Get keys at https://api.data.gov/signup/ (Scorecard) and from the US News Academic Insights team (AI). If a key is missing, the affected pulls log a message and return an empty tibble; the rest of the module still runs.</w:t>
      </w:r>
    </w:p>
    <w:p>
      <w:pPr>
        <w:pStyle w:val="Heading2"/>
        <w:spacing w:after="120" w:before="240"/>
      </w:pPr>
      <w:r>
        <w:rPr>
          <w:rFonts w:ascii="Arial" w:cs="Arial" w:eastAsia="Arial" w:hAnsi="Arial"/>
          <w:b/>
          <w:bCs/>
          <w:sz w:val="26"/>
          <w:szCs w:val="26"/>
        </w:rPr>
        <w:t xml:space="preserve">Output file structure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6000"/>
      </w:tblGrid>
      <w:tr>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6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Columns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schools.csv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~2,598</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unitid, instnm, sector, control, iclevel, stabbr, control_grp, c21basic, carnegieic, usnews_classification, in_ranked_universe, latest_year, accreditor, earnings_ratio, apm_max_cip2percent, apm_max_cip2_name,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aid_facts.csv / variables.csv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~140K / 11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facts: unitid, year, metric, value, var_type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adm_facts.csv / variables.csv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~140K / 11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facts: unitid, year, metric, value, var_type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enr_facts.csv / variables.csv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~245K / 21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facts: unitid, year, metric, value, var_type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out_facts.csv / variables.csv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~120K / 12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facts: unitid, year, metric, value, var_type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fin_facts.csv / variables.csv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~190K / 17</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facts: unitid, year, metric, value, var_type</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sz w:val="26"/>
          <w:szCs w:val="26"/>
        </w:rPr>
        <w:t xml:space="preserve">Key decisions and tradeoffs</w:t>
      </w:r>
    </w:p>
    <w:p>
      <w:pPr>
        <w:spacing w:after="120"/>
      </w:pPr>
      <w:r>
        <w:rPr>
          <w:rFonts w:ascii="Arial" w:cs="Arial" w:eastAsia="Arial" w:hAnsi="Arial"/>
          <w:sz w:val="22"/>
          <w:szCs w:val="22"/>
        </w:rPr>
        <w:t xml:space="preserve">Selected major decisions made during development, documented here for future maintainers:</w:t>
      </w:r>
    </w:p>
    <w:p>
      <w:pPr>
        <w:pStyle w:val="ListParagraph"/>
        <w:numPr>
          <w:ilvl w:val="0"/>
          <w:numId w:val="2"/>
        </w:numPr>
        <w:spacing w:after="80"/>
      </w:pPr>
      <w:r>
        <w:rPr>
          <w:rFonts w:ascii="Arial" w:cs="Arial" w:eastAsia="Arial" w:hAnsi="Arial"/>
          <w:sz w:val="22"/>
          <w:szCs w:val="22"/>
        </w:rPr>
        <w:t xml:space="preserve">Two-table architecture (shared schools.csv + per-module facts/variables) chosen over a single wide table to support module independence and to keep variable metadata cleanly separated from values.</w:t>
      </w:r>
    </w:p>
    <w:p>
      <w:pPr>
        <w:pStyle w:val="ListParagraph"/>
        <w:numPr>
          <w:ilvl w:val="0"/>
          <w:numId w:val="2"/>
        </w:numPr>
        <w:spacing w:after="80"/>
      </w:pPr>
      <w:r>
        <w:rPr>
          <w:rFonts w:ascii="Arial" w:cs="Arial" w:eastAsia="Arial" w:hAnsi="Arial"/>
          <w:sz w:val="22"/>
          <w:szCs w:val="22"/>
        </w:rPr>
        <w:t xml:space="preserve">Long-format facts tables rather than wide. Wide tables can be constructed via pivot_wider when needed; the long form is canonical and avoids committing to any particular wide shape.</w:t>
      </w:r>
    </w:p>
    <w:p>
      <w:pPr>
        <w:pStyle w:val="ListParagraph"/>
        <w:numPr>
          <w:ilvl w:val="0"/>
          <w:numId w:val="2"/>
        </w:numPr>
        <w:spacing w:after="80"/>
      </w:pPr>
      <w:r>
        <w:rPr>
          <w:rFonts w:ascii="Arial" w:cs="Arial" w:eastAsia="Arial" w:hAnsi="Arial"/>
          <w:sz w:val="22"/>
          <w:szCs w:val="22"/>
        </w:rPr>
        <w:t xml:space="preserve">Test scores tagged descriptive rather than clustering due to test-optional submission bias.</w:t>
      </w:r>
    </w:p>
    <w:p>
      <w:pPr>
        <w:pStyle w:val="ListParagraph"/>
        <w:numPr>
          <w:ilvl w:val="0"/>
          <w:numId w:val="2"/>
        </w:numPr>
        <w:spacing w:after="80"/>
      </w:pPr>
      <w:r>
        <w:rPr>
          <w:rFonts w:ascii="Arial" w:cs="Arial" w:eastAsia="Arial" w:hAnsi="Arial"/>
          <w:sz w:val="22"/>
          <w:szCs w:val="22"/>
        </w:rPr>
        <w:t xml:space="preserve">Three-level race/ethnicity trio (white / international / BIPOC excluding unknown) used for clustering; detailed seven-way breakdown carried as descriptive.</w:t>
      </w:r>
    </w:p>
    <w:p>
      <w:pPr>
        <w:pStyle w:val="ListParagraph"/>
        <w:numPr>
          <w:ilvl w:val="0"/>
          <w:numId w:val="2"/>
        </w:numPr>
        <w:spacing w:after="80"/>
      </w:pPr>
      <w:r>
        <w:rPr>
          <w:rFonts w:ascii="Arial" w:cs="Arial" w:eastAsia="Arial" w:hAnsi="Arial"/>
          <w:sz w:val="22"/>
          <w:szCs w:val="22"/>
        </w:rPr>
        <w:t xml:space="preserve">First-generation rate from Scorecard's share_firstgeneration field as a single 2024 snapshot, after diagnostic testing ruled out four Academic Insights candidates that returned wrong-cohort or unclear-unit values.</w:t>
      </w:r>
    </w:p>
    <w:p>
      <w:pPr>
        <w:pStyle w:val="ListParagraph"/>
        <w:numPr>
          <w:ilvl w:val="0"/>
          <w:numId w:val="2"/>
        </w:numPr>
        <w:spacing w:after="80"/>
      </w:pPr>
      <w:r>
        <w:rPr>
          <w:rFonts w:ascii="Arial" w:cs="Arial" w:eastAsia="Arial" w:hAnsi="Arial"/>
          <w:sz w:val="22"/>
          <w:szCs w:val="22"/>
        </w:rPr>
        <w:t xml:space="preserve">median_family_income added from Scorecard alongside pct_first_generation to capture income composition as a clustering dimension distinct from binary Pell eligibility and parental education.</w:t>
      </w:r>
    </w:p>
    <w:p>
      <w:pPr>
        <w:pStyle w:val="ListParagraph"/>
        <w:numPr>
          <w:ilvl w:val="0"/>
          <w:numId w:val="2"/>
        </w:numPr>
        <w:spacing w:after="80"/>
      </w:pPr>
      <w:r>
        <w:rPr>
          <w:rFonts w:ascii="Arial" w:cs="Arial" w:eastAsia="Arial" w:hAnsi="Arial"/>
          <w:sz w:val="22"/>
          <w:szCs w:val="22"/>
        </w:rPr>
        <w:t xml:space="preserve">Four FASB-volatile finance metrics dropped and replaced with four stable expense-denominated alternatives, removing $100K+ year-over-year swings driven by investment-return accounting.</w:t>
      </w:r>
    </w:p>
    <w:p>
      <w:pPr>
        <w:pStyle w:val="ListParagraph"/>
        <w:numPr>
          <w:ilvl w:val="0"/>
          <w:numId w:val="2"/>
        </w:numPr>
        <w:spacing w:after="80"/>
      </w:pPr>
      <w:r>
        <w:rPr>
          <w:rFonts w:ascii="Arial" w:cs="Arial" w:eastAsia="Arial" w:hAnsi="Arial"/>
          <w:sz w:val="22"/>
          <w:szCs w:val="22"/>
        </w:rPr>
        <w:t xml:space="preserve">loan_repayment_rate field path corrected from .completers (a count) to .completers_rate (the rate) after spot-check revealed Holy Cross value of 668 (impossible as a percentage).</w:t>
      </w:r>
    </w:p>
    <w:p>
      <w:pPr>
        <w:pStyle w:val="ListParagraph"/>
        <w:numPr>
          <w:ilvl w:val="0"/>
          <w:numId w:val="2"/>
        </w:numPr>
        <w:spacing w:after="80"/>
      </w:pPr>
      <w:r>
        <w:rPr>
          <w:rFonts w:ascii="Arial" w:cs="Arial" w:eastAsia="Arial" w:hAnsi="Arial"/>
          <w:sz w:val="22"/>
          <w:szCs w:val="22"/>
        </w:rPr>
        <w:t xml:space="preserve">All Scorecard rate variables multiplied by 100 in the build functions to align with the project-wide 0-100 percentage convention (IPEDS and AI both use 0-100 natively).</w:t>
      </w:r>
    </w:p>
    <w:p>
      <w:pPr>
        <w:pStyle w:val="ListParagraph"/>
        <w:numPr>
          <w:ilvl w:val="0"/>
          <w:numId w:val="2"/>
        </w:numPr>
        <w:spacing w:after="80"/>
      </w:pPr>
      <w:r>
        <w:rPr>
          <w:rFonts w:ascii="Arial" w:cs="Arial" w:eastAsia="Arial" w:hAnsi="Arial"/>
          <w:sz w:val="22"/>
          <w:szCs w:val="22"/>
        </w:rPr>
        <w:t xml:space="preserve">Coverage report functions corrected to evaluate each metric against its actual year set, not a uniform 5-year denominator. Single-snapshot variables now report honest coverage rates.</w:t>
      </w:r>
    </w:p>
    <w:p>
      <w:pPr>
        <w:pStyle w:val="ListParagraph"/>
        <w:numPr>
          <w:ilvl w:val="0"/>
          <w:numId w:val="2"/>
        </w:numPr>
        <w:spacing w:after="80"/>
      </w:pPr>
      <w:r>
        <w:rPr>
          <w:rFonts w:ascii="Arial" w:cs="Arial" w:eastAsia="Arial" w:hAnsi="Arial"/>
          <w:sz w:val="22"/>
          <w:szCs w:val="22"/>
        </w:rPr>
        <w:t xml:space="preserve">doctoral_degrees_awarded uses DOCDEGRS (research doctorates only), matching NECHE's definition; excludes professional-practice doctorates.</w:t>
      </w:r>
    </w:p>
    <w:p>
      <w:pPr>
        <w:pStyle w:val="ListParagraph"/>
        <w:numPr>
          <w:ilvl w:val="0"/>
          <w:numId w:val="2"/>
        </w:numPr>
        <w:spacing w:after="80"/>
      </w:pPr>
      <w:r>
        <w:rPr>
          <w:rFonts w:ascii="Arial" w:cs="Arial" w:eastAsia="Arial" w:hAnsi="Arial"/>
          <w:sz w:val="22"/>
          <w:szCs w:val="22"/>
        </w:rPr>
        <w:t xml:space="preserve">Accreditor pulled into schools.csv as an institutional attribute (for filter/scope use), not as a clustering variable.</w:t>
      </w:r>
    </w:p>
    <w:p>
      <w:pPr>
        <w:pStyle w:val="Heading2"/>
        <w:spacing w:after="120" w:before="240"/>
      </w:pPr>
      <w:r>
        <w:rPr>
          <w:rFonts w:ascii="Arial" w:cs="Arial" w:eastAsia="Arial" w:hAnsi="Arial"/>
          <w:b/>
          <w:bCs/>
          <w:sz w:val="26"/>
          <w:szCs w:val="26"/>
        </w:rPr>
        <w:t xml:space="preserve">Known limitations across the project</w:t>
      </w:r>
    </w:p>
    <w:p>
      <w:pPr>
        <w:pStyle w:val="ListParagraph"/>
        <w:numPr>
          <w:ilvl w:val="0"/>
          <w:numId w:val="2"/>
        </w:numPr>
        <w:spacing w:after="80"/>
      </w:pPr>
      <w:r>
        <w:rPr>
          <w:rFonts w:ascii="Arial" w:cs="Arial" w:eastAsia="Arial" w:hAnsi="Arial"/>
          <w:sz w:val="22"/>
          <w:szCs w:val="22"/>
        </w:rPr>
        <w:t xml:space="preserve">Most IPEDS aid and admissions data describe full-time, first-time, degree-seeking undergraduates (the entering cohort), not all undergraduates. About 16% of private NFP institutions enroll no entering cohort and have no IPEDS aid/admissions data; this is structural, not missing.</w:t>
      </w:r>
    </w:p>
    <w:p>
      <w:pPr>
        <w:pStyle w:val="ListParagraph"/>
        <w:numPr>
          <w:ilvl w:val="0"/>
          <w:numId w:val="2"/>
        </w:numPr>
        <w:spacing w:after="80"/>
      </w:pPr>
      <w:r>
        <w:rPr>
          <w:rFonts w:ascii="Arial" w:cs="Arial" w:eastAsia="Arial" w:hAnsi="Arial"/>
          <w:sz w:val="22"/>
          <w:szCs w:val="22"/>
        </w:rPr>
        <w:t xml:space="preserve">Academic Insights coverage is approximately 45% of the universe for CDS-sourced metrics. The CDS layer is an enrichment, not universe-wide.</w:t>
      </w:r>
    </w:p>
    <w:p>
      <w:pPr>
        <w:pStyle w:val="ListParagraph"/>
        <w:numPr>
          <w:ilvl w:val="0"/>
          <w:numId w:val="2"/>
        </w:numPr>
        <w:spacing w:after="80"/>
      </w:pPr>
      <w:r>
        <w:rPr>
          <w:rFonts w:ascii="Arial" w:cs="Arial" w:eastAsia="Arial" w:hAnsi="Arial"/>
          <w:sz w:val="22"/>
          <w:szCs w:val="22"/>
        </w:rPr>
        <w:t xml:space="preserve">Scorecard's universe (~2,047 SECTOR 1/2 institutions) is approximately 79% of our IPEDS-derived universe (~2,598). The gap is Title IV non-participants and certain specialty institutions; institutions outside Scorecard return NA for Scorecard variables.</w:t>
      </w:r>
    </w:p>
    <w:p>
      <w:pPr>
        <w:pStyle w:val="ListParagraph"/>
        <w:numPr>
          <w:ilvl w:val="0"/>
          <w:numId w:val="2"/>
        </w:numPr>
        <w:spacing w:after="80"/>
      </w:pPr>
      <w:r>
        <w:rPr>
          <w:rFonts w:ascii="Arial" w:cs="Arial" w:eastAsia="Arial" w:hAnsi="Arial"/>
          <w:sz w:val="22"/>
          <w:szCs w:val="22"/>
        </w:rPr>
        <w:t xml:space="preserve">Scorecard earnings and repayment metrics are point-in-time snapshots, not panel measures. The 'latest cohort' framing means values written under panel year 2024 reflect cohorts that entered college 6-10 years earlier.</w:t>
      </w:r>
    </w:p>
    <w:p>
      <w:pPr>
        <w:pStyle w:val="ListParagraph"/>
        <w:numPr>
          <w:ilvl w:val="0"/>
          <w:numId w:val="2"/>
        </w:numPr>
        <w:spacing w:after="80"/>
      </w:pPr>
      <w:r>
        <w:rPr>
          <w:rFonts w:ascii="Arial" w:cs="Arial" w:eastAsia="Arial" w:hAnsi="Arial"/>
          <w:sz w:val="22"/>
          <w:szCs w:val="22"/>
        </w:rPr>
        <w:t xml:space="preserve">first_gen_grad_rate_6yr is a rate, not a gap. The downstream application is responsible for constructing comparisons.</w:t>
      </w:r>
    </w:p>
    <w:p>
      <w:pPr>
        <w:pStyle w:val="ListParagraph"/>
        <w:numPr>
          <w:ilvl w:val="0"/>
          <w:numId w:val="2"/>
        </w:numPr>
        <w:spacing w:after="80"/>
      </w:pPr>
      <w:r>
        <w:rPr>
          <w:rFonts w:ascii="Arial" w:cs="Arial" w:eastAsia="Arial" w:hAnsi="Arial"/>
          <w:sz w:val="22"/>
          <w:szCs w:val="22"/>
        </w:rPr>
        <w:t xml:space="preserve">Pell graduation and first-generation graduation outcomes are distinct equity dimensions (financial aid receipt vs parental education). They correlate but should not be conflated.</w:t>
      </w:r>
    </w:p>
    <w:p>
      <w:pPr>
        <w:pStyle w:val="ListParagraph"/>
        <w:numPr>
          <w:ilvl w:val="0"/>
          <w:numId w:val="2"/>
        </w:numPr>
        <w:spacing w:after="80"/>
      </w:pPr>
      <w:r>
        <w:rPr>
          <w:rFonts w:ascii="Arial" w:cs="Arial" w:eastAsia="Arial" w:hAnsi="Arial"/>
          <w:sz w:val="22"/>
          <w:szCs w:val="22"/>
        </w:rPr>
        <w:t xml:space="preserve">FASB net assets and GASB net position are similar but not identical accounting concepts. Cross-sector comparison of net_assets_per_fte should be treated as approximate.</w:t>
      </w:r>
    </w:p>
    <w:p>
      <w:pPr>
        <w:pStyle w:val="ListParagraph"/>
        <w:numPr>
          <w:ilvl w:val="0"/>
          <w:numId w:val="2"/>
        </w:numPr>
        <w:spacing w:after="80"/>
      </w:pPr>
      <w:r>
        <w:rPr>
          <w:rFonts w:ascii="Arial" w:cs="Arial" w:eastAsia="Arial" w:hAnsi="Arial"/>
          <w:sz w:val="22"/>
          <w:szCs w:val="22"/>
        </w:rPr>
        <w:t xml:space="preserve">HERD R&amp;D coverage is naturally low (4% private NFP, 12% public) — voluntary reporting, primarily relevant for research-active institutions.</w:t>
      </w:r>
    </w:p>
    <w:p>
      <w:pPr>
        <w:pStyle w:val="ListParagraph"/>
        <w:numPr>
          <w:ilvl w:val="0"/>
          <w:numId w:val="2"/>
        </w:numPr>
        <w:spacing w:after="80"/>
      </w:pPr>
      <w:r>
        <w:rPr>
          <w:rFonts w:ascii="Arial" w:cs="Arial" w:eastAsia="Arial" w:hAnsi="Arial"/>
          <w:sz w:val="22"/>
          <w:szCs w:val="22"/>
        </w:rPr>
        <w:t xml:space="preserve">CDS class-size metrics (pct_classes_under_20, pct_classes_50plus) cover approximately 45% — CDS respondents only.</w:t>
      </w:r>
    </w:p>
    <w:p>
      <w:pPr>
        <w:pStyle w:val="ListParagraph"/>
        <w:numPr>
          <w:ilvl w:val="0"/>
          <w:numId w:val="2"/>
        </w:numPr>
        <w:spacing w:after="80"/>
      </w:pPr>
      <w:r>
        <w:rPr>
          <w:rFonts w:ascii="Arial" w:cs="Arial" w:eastAsia="Arial" w:hAnsi="Arial"/>
          <w:sz w:val="22"/>
          <w:szCs w:val="22"/>
        </w:rPr>
        <w:t xml:space="preserve">Carnegie attributes (earnings_ratio, herd_avg, apm_max_cip2*) reflect 2020-2023 source data applied uniformly to all panel years — a documented simplification.</w:t>
      </w:r>
    </w:p>
    <w:p>
      <w:pPr>
        <w:pStyle w:val="ListParagraph"/>
        <w:numPr>
          <w:ilvl w:val="0"/>
          <w:numId w:val="2"/>
        </w:numPr>
        <w:spacing w:after="80"/>
      </w:pPr>
      <w:r>
        <w:rPr>
          <w:rFonts w:ascii="Arial" w:cs="Arial" w:eastAsia="Arial" w:hAnsi="Arial"/>
          <w:sz w:val="22"/>
          <w:szCs w:val="22"/>
        </w:rPr>
        <w:t xml:space="preserve">The most recent IPEDS collection is provisional; values may change when finalized.</w:t>
      </w:r>
    </w:p>
    <w:p>
      <w:pPr>
        <w:pStyle w:val="Heading2"/>
        <w:spacing w:after="120" w:before="240"/>
      </w:pPr>
      <w:r>
        <w:rPr>
          <w:rFonts w:ascii="Arial" w:cs="Arial" w:eastAsia="Arial" w:hAnsi="Arial"/>
          <w:b/>
          <w:bCs/>
          <w:sz w:val="26"/>
          <w:szCs w:val="26"/>
        </w:rPr>
        <w:t xml:space="preserve">Appendix: source tables and endpoints</w:t>
      </w:r>
    </w:p>
    <w:p>
      <w:pPr>
        <w:pStyle w:val="Heading3"/>
        <w:spacing w:after="100" w:before="200"/>
      </w:pPr>
      <w:r>
        <w:rPr>
          <w:rFonts w:ascii="Arial" w:cs="Arial" w:eastAsia="Arial" w:hAnsi="Arial"/>
          <w:b/>
          <w:bCs/>
          <w:sz w:val="24"/>
          <w:szCs w:val="24"/>
        </w:rPr>
        <w:t xml:space="preserve">IPEDS tables (via ipeds package)</w:t>
      </w:r>
    </w:p>
    <w:p>
      <w:pPr>
        <w:pStyle w:val="ListParagraph"/>
        <w:numPr>
          <w:ilvl w:val="0"/>
          <w:numId w:val="2"/>
        </w:numPr>
        <w:spacing w:after="80"/>
      </w:pPr>
      <w:r>
        <w:rPr>
          <w:rFonts w:ascii="Arial" w:cs="Arial" w:eastAsia="Arial" w:hAnsi="Arial"/>
          <w:sz w:val="22"/>
          <w:szCs w:val="22"/>
        </w:rPr>
        <w:t xml:space="preserve">HD{yr} — Institutional characteristics (sector, control, classification, location)</w:t>
      </w:r>
    </w:p>
    <w:p>
      <w:pPr>
        <w:pStyle w:val="ListParagraph"/>
        <w:numPr>
          <w:ilvl w:val="0"/>
          <w:numId w:val="2"/>
        </w:numPr>
        <w:spacing w:after="80"/>
      </w:pPr>
      <w:r>
        <w:rPr>
          <w:rFonts w:ascii="Arial" w:cs="Arial" w:eastAsia="Arial" w:hAnsi="Arial"/>
          <w:sz w:val="22"/>
          <w:szCs w:val="22"/>
        </w:rPr>
        <w:t xml:space="preserve">DRVEF{yr} — Derived enrollment (counts, percentages, race/ethnicity, age)</w:t>
      </w:r>
    </w:p>
    <w:p>
      <w:pPr>
        <w:pStyle w:val="ListParagraph"/>
        <w:numPr>
          <w:ilvl w:val="0"/>
          <w:numId w:val="2"/>
        </w:numPr>
        <w:spacing w:after="80"/>
      </w:pPr>
      <w:r>
        <w:rPr>
          <w:rFonts w:ascii="Arial" w:cs="Arial" w:eastAsia="Arial" w:hAnsi="Arial"/>
          <w:sz w:val="22"/>
          <w:szCs w:val="22"/>
        </w:rPr>
        <w:t xml:space="preserve">DRVADM{yr} — Derived admissions (acceptance rate, yield rate)</w:t>
      </w:r>
    </w:p>
    <w:p>
      <w:pPr>
        <w:pStyle w:val="ListParagraph"/>
        <w:numPr>
          <w:ilvl w:val="0"/>
          <w:numId w:val="2"/>
        </w:numPr>
        <w:spacing w:after="80"/>
      </w:pPr>
      <w:r>
        <w:rPr>
          <w:rFonts w:ascii="Arial" w:cs="Arial" w:eastAsia="Arial" w:hAnsi="Arial"/>
          <w:sz w:val="22"/>
          <w:szCs w:val="22"/>
        </w:rPr>
        <w:t xml:space="preserve">ADM{yr} — Raw admissions (applicants, admits, enrolls; gender breakouts; test scores)</w:t>
      </w:r>
    </w:p>
    <w:p>
      <w:pPr>
        <w:pStyle w:val="ListParagraph"/>
        <w:numPr>
          <w:ilvl w:val="0"/>
          <w:numId w:val="2"/>
        </w:numPr>
        <w:spacing w:after="80"/>
      </w:pPr>
      <w:r>
        <w:rPr>
          <w:rFonts w:ascii="Arial" w:cs="Arial" w:eastAsia="Arial" w:hAnsi="Arial"/>
          <w:sz w:val="22"/>
          <w:szCs w:val="22"/>
        </w:rPr>
        <w:t xml:space="preserve">DRVGR{yr} — Derived graduation rates</w:t>
      </w:r>
    </w:p>
    <w:p>
      <w:pPr>
        <w:pStyle w:val="ListParagraph"/>
        <w:numPr>
          <w:ilvl w:val="0"/>
          <w:numId w:val="2"/>
        </w:numPr>
        <w:spacing w:after="80"/>
      </w:pPr>
      <w:r>
        <w:rPr>
          <w:rFonts w:ascii="Arial" w:cs="Arial" w:eastAsia="Arial" w:hAnsi="Arial"/>
          <w:sz w:val="22"/>
          <w:szCs w:val="22"/>
        </w:rPr>
        <w:t xml:space="preserve">EF{yr}D — Fall enrollment, including RET_PCF retention</w:t>
      </w:r>
    </w:p>
    <w:p>
      <w:pPr>
        <w:pStyle w:val="ListParagraph"/>
        <w:numPr>
          <w:ilvl w:val="0"/>
          <w:numId w:val="2"/>
        </w:numPr>
        <w:spacing w:after="80"/>
      </w:pPr>
      <w:r>
        <w:rPr>
          <w:rFonts w:ascii="Arial" w:cs="Arial" w:eastAsia="Arial" w:hAnsi="Arial"/>
          <w:sz w:val="22"/>
          <w:szCs w:val="22"/>
        </w:rPr>
        <w:t xml:space="preserve">DRVOM{yr} — Derived outcome measures (Pell vs non-Pell graduation)</w:t>
      </w:r>
    </w:p>
    <w:p>
      <w:pPr>
        <w:pStyle w:val="ListParagraph"/>
        <w:numPr>
          <w:ilvl w:val="0"/>
          <w:numId w:val="2"/>
        </w:numPr>
        <w:spacing w:after="80"/>
      </w:pPr>
      <w:r>
        <w:rPr>
          <w:rFonts w:ascii="Arial" w:cs="Arial" w:eastAsia="Arial" w:hAnsi="Arial"/>
          <w:sz w:val="22"/>
          <w:szCs w:val="22"/>
        </w:rPr>
        <w:t xml:space="preserve">DRVC{yr} — Derived completions (degree counts by level)</w:t>
      </w:r>
    </w:p>
    <w:p>
      <w:pPr>
        <w:pStyle w:val="ListParagraph"/>
        <w:numPr>
          <w:ilvl w:val="0"/>
          <w:numId w:val="2"/>
        </w:numPr>
        <w:spacing w:after="80"/>
      </w:pPr>
      <w:r>
        <w:rPr>
          <w:rFonts w:ascii="Arial" w:cs="Arial" w:eastAsia="Arial" w:hAnsi="Arial"/>
          <w:sz w:val="22"/>
          <w:szCs w:val="22"/>
        </w:rPr>
        <w:t xml:space="preserve">SFA{yr} — Student financial aid (Pell, federal loans, institutional grants)</w:t>
      </w:r>
    </w:p>
    <w:p>
      <w:pPr>
        <w:pStyle w:val="ListParagraph"/>
        <w:numPr>
          <w:ilvl w:val="0"/>
          <w:numId w:val="2"/>
        </w:numPr>
        <w:spacing w:after="80"/>
      </w:pPr>
      <w:r>
        <w:rPr>
          <w:rFonts w:ascii="Arial" w:cs="Arial" w:eastAsia="Arial" w:hAnsi="Arial"/>
          <w:sz w:val="22"/>
          <w:szCs w:val="22"/>
        </w:rPr>
        <w:t xml:space="preserve">IC{yr}_AY — Tuition and fees (2020-2023)</w:t>
      </w:r>
    </w:p>
    <w:p>
      <w:pPr>
        <w:pStyle w:val="ListParagraph"/>
        <w:numPr>
          <w:ilvl w:val="0"/>
          <w:numId w:val="2"/>
        </w:numPr>
        <w:spacing w:after="80"/>
      </w:pPr>
      <w:r>
        <w:rPr>
          <w:rFonts w:ascii="Arial" w:cs="Arial" w:eastAsia="Arial" w:hAnsi="Arial"/>
          <w:sz w:val="22"/>
          <w:szCs w:val="22"/>
        </w:rPr>
        <w:t xml:space="preserve">COST1_{yr} — Tuition and fees (2024 onward)</w:t>
      </w:r>
    </w:p>
    <w:p>
      <w:pPr>
        <w:pStyle w:val="ListParagraph"/>
        <w:numPr>
          <w:ilvl w:val="0"/>
          <w:numId w:val="2"/>
        </w:numPr>
        <w:spacing w:after="80"/>
      </w:pPr>
      <w:r>
        <w:rPr>
          <w:rFonts w:ascii="Arial" w:cs="Arial" w:eastAsia="Arial" w:hAnsi="Arial"/>
          <w:sz w:val="22"/>
          <w:szCs w:val="22"/>
        </w:rPr>
        <w:t xml:space="preserve">DRVF{yr} — Derived finance (form-aware F1*/F2* prefixes)</w:t>
      </w:r>
    </w:p>
    <w:p>
      <w:pPr>
        <w:pStyle w:val="ListParagraph"/>
        <w:numPr>
          <w:ilvl w:val="0"/>
          <w:numId w:val="2"/>
        </w:numPr>
        <w:spacing w:after="80"/>
      </w:pPr>
      <w:r>
        <w:rPr>
          <w:rFonts w:ascii="Arial" w:cs="Arial" w:eastAsia="Arial" w:hAnsi="Arial"/>
          <w:sz w:val="22"/>
          <w:szCs w:val="22"/>
        </w:rPr>
        <w:t xml:space="preserve">F{FY}_F1A — Raw GASB finance for public institutions</w:t>
      </w:r>
    </w:p>
    <w:p>
      <w:pPr>
        <w:pStyle w:val="ListParagraph"/>
        <w:numPr>
          <w:ilvl w:val="0"/>
          <w:numId w:val="2"/>
        </w:numPr>
        <w:spacing w:after="80"/>
      </w:pPr>
      <w:r>
        <w:rPr>
          <w:rFonts w:ascii="Arial" w:cs="Arial" w:eastAsia="Arial" w:hAnsi="Arial"/>
          <w:sz w:val="22"/>
          <w:szCs w:val="22"/>
        </w:rPr>
        <w:t xml:space="preserve">F{FY}_F2 — Raw FASB finance for private NFPs</w:t>
      </w:r>
    </w:p>
    <w:p>
      <w:pPr>
        <w:pStyle w:val="ListParagraph"/>
        <w:numPr>
          <w:ilvl w:val="0"/>
          <w:numId w:val="2"/>
        </w:numPr>
        <w:spacing w:after="80"/>
      </w:pPr>
      <w:r>
        <w:rPr>
          <w:rFonts w:ascii="Arial" w:cs="Arial" w:eastAsia="Arial" w:hAnsi="Arial"/>
          <w:sz w:val="22"/>
          <w:szCs w:val="22"/>
        </w:rPr>
        <w:t xml:space="preserve">S{yr}_IS — Instructional staff by faculty status × academic rank</w:t>
      </w:r>
    </w:p>
    <w:p>
      <w:pPr>
        <w:pStyle w:val="ListParagraph"/>
        <w:numPr>
          <w:ilvl w:val="0"/>
          <w:numId w:val="2"/>
        </w:numPr>
        <w:spacing w:after="80"/>
      </w:pPr>
      <w:r>
        <w:rPr>
          <w:rFonts w:ascii="Arial" w:cs="Arial" w:eastAsia="Arial" w:hAnsi="Arial"/>
          <w:sz w:val="22"/>
          <w:szCs w:val="22"/>
        </w:rPr>
        <w:t xml:space="preserve">SAL{yr}_IS — Salary outlay for instructional staff</w:t>
      </w:r>
    </w:p>
    <w:p>
      <w:pPr>
        <w:pStyle w:val="ListParagraph"/>
        <w:numPr>
          <w:ilvl w:val="0"/>
          <w:numId w:val="2"/>
        </w:numPr>
        <w:spacing w:after="80"/>
      </w:pPr>
      <w:r>
        <w:rPr>
          <w:rFonts w:ascii="Arial" w:cs="Arial" w:eastAsia="Arial" w:hAnsi="Arial"/>
          <w:sz w:val="22"/>
          <w:szCs w:val="22"/>
        </w:rPr>
        <w:t xml:space="preserve">DRVHR{yr} — Derived human resources (instructional staff FTE)</w:t>
      </w:r>
    </w:p>
    <w:p>
      <w:pPr>
        <w:pStyle w:val="Heading3"/>
        <w:spacing w:after="100" w:before="200"/>
      </w:pPr>
      <w:r>
        <w:rPr>
          <w:rFonts w:ascii="Arial" w:cs="Arial" w:eastAsia="Arial" w:hAnsi="Arial"/>
          <w:b/>
          <w:bCs/>
          <w:sz w:val="24"/>
          <w:szCs w:val="24"/>
        </w:rPr>
        <w:t xml:space="preserve">External APIs</w:t>
      </w:r>
    </w:p>
    <w:p>
      <w:pPr>
        <w:pStyle w:val="ListParagraph"/>
        <w:numPr>
          <w:ilvl w:val="0"/>
          <w:numId w:val="2"/>
        </w:numPr>
        <w:spacing w:after="80"/>
      </w:pPr>
      <w:r>
        <w:rPr>
          <w:rFonts w:ascii="Arial" w:cs="Arial" w:eastAsia="Arial" w:hAnsi="Arial"/>
          <w:sz w:val="22"/>
          <w:szCs w:val="22"/>
        </w:rPr>
        <w:t xml:space="preserve">Academic Insights /facts/undergraduate — CDS-sourced metrics; year-filtered or all-years pulls</w:t>
      </w:r>
    </w:p>
    <w:p>
      <w:pPr>
        <w:pStyle w:val="ListParagraph"/>
        <w:numPr>
          <w:ilvl w:val="0"/>
          <w:numId w:val="2"/>
        </w:numPr>
        <w:spacing w:after="80"/>
      </w:pPr>
      <w:r>
        <w:rPr>
          <w:rFonts w:ascii="Arial" w:cs="Arial" w:eastAsia="Arial" w:hAnsi="Arial"/>
          <w:sz w:val="22"/>
          <w:szCs w:val="22"/>
        </w:rPr>
        <w:t xml:space="preserve">Academic Insights /schools — US News classifications; built once into schools.csv</w:t>
      </w:r>
    </w:p>
    <w:p>
      <w:pPr>
        <w:pStyle w:val="ListParagraph"/>
        <w:numPr>
          <w:ilvl w:val="0"/>
          <w:numId w:val="2"/>
        </w:numPr>
        <w:spacing w:after="80"/>
      </w:pPr>
      <w:r>
        <w:rPr>
          <w:rFonts w:ascii="Arial" w:cs="Arial" w:eastAsia="Arial" w:hAnsi="Arial"/>
          <w:sz w:val="22"/>
          <w:szCs w:val="22"/>
        </w:rPr>
        <w:t xml:space="preserve">College Scorecard /v1/schools — Latest snapshot pulls for earnings, repayment, first-gen, family income</w:t>
      </w:r>
    </w:p>
    <w:p>
      <w:pPr>
        <w:pStyle w:val="ListParagraph"/>
        <w:numPr>
          <w:ilvl w:val="0"/>
          <w:numId w:val="2"/>
        </w:numPr>
        <w:spacing w:after="80"/>
      </w:pPr>
      <w:r>
        <w:rPr>
          <w:rFonts w:ascii="Arial" w:cs="Arial" w:eastAsia="Arial" w:hAnsi="Arial"/>
          <w:sz w:val="22"/>
          <w:szCs w:val="22"/>
        </w:rPr>
        <w:t xml:space="preserve">Carnegie 2025 Public Data File (Excel) — One-time 2020-2023 classification snapshot covering earnings_ratio, herd_avg, academic concentration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2026-05-26T18:00:13.521Z</dcterms:created>
  <dcterms:modified xsi:type="dcterms:W3CDTF">2026-05-26T18:00:13.538Z</dcterms:modified>
</cp:coreProperties>
</file>

<file path=docProps/custom.xml><?xml version="1.0" encoding="utf-8"?>
<Properties xmlns="http://schemas.openxmlformats.org/officeDocument/2006/custom-properties" xmlns:vt="http://schemas.openxmlformats.org/officeDocument/2006/docPropsVTypes"/>
</file>