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8"/>
          <w:sz w:val="36"/>
          <w:szCs w:val="36"/>
        </w:rPr>
        <w:t xml:space="preserve">Admissions Module - Methodology</w:t>
      </w:r>
    </w:p>
    <w:p>
      <w:pPr>
        <w:spacing w:after="260"/>
      </w:pPr>
      <w:r>
        <w:rPr>
          <w:rFonts w:ascii="Arial" w:cs="Arial" w:eastAsia="Arial" w:hAnsi="Arial"/>
          <w:i/>
          <w:iCs/>
          <w:color w:val="595959"/>
          <w:sz w:val="22"/>
          <w:szCs w:val="22"/>
        </w:rPr>
        <w:t xml:space="preserve">Two-table data architecture - Peer-comparison data layer - College of the Holy Cross</w:t>
      </w:r>
    </w:p>
    <w:p>
      <w:pPr>
        <w:pStyle w:val="Heading1"/>
        <w:spacing w:after="140" w:before="240"/>
      </w:pPr>
      <w:r>
        <w:rPr>
          <w:rFonts w:ascii="Arial" w:cs="Arial" w:eastAsia="Arial" w:hAnsi="Arial"/>
          <w:b/>
          <w:bCs/>
        </w:rPr>
        <w:t xml:space="preserve">Purpose &amp; scope</w:t>
      </w:r>
    </w:p>
    <w:p>
      <w:pPr>
        <w:spacing w:after="160"/>
      </w:pPr>
      <w:r>
        <w:rPr>
          <w:rFonts w:ascii="Arial" w:cs="Arial" w:eastAsia="Arial" w:hAnsi="Arial"/>
          <w:b w:val="false"/>
          <w:bCs w:val="false"/>
          <w:i w:val="false"/>
          <w:iCs w:val="false"/>
          <w:sz w:val="22"/>
          <w:szCs w:val="22"/>
        </w:rPr>
        <w:t xml:space="preserve">This module assembles a five-year, institution-level admissions and selectivity panel from publicly released IPEDS data and the US News Academic Insights API. It is the second module in the peer-comparison data layer, following the financial aid module. Eleven metrics characterize how institutions select students, how those students respond, and how the resulting cohort is composed.</w:t>
      </w:r>
    </w:p>
    <w:p>
      <w:pPr>
        <w:spacing w:after="160"/>
      </w:pPr>
      <w:r>
        <w:rPr>
          <w:rFonts w:ascii="Arial" w:cs="Arial" w:eastAsia="Arial" w:hAnsi="Arial"/>
          <w:b w:val="false"/>
          <w:bCs w:val="false"/>
          <w:i w:val="false"/>
          <w:iCs w:val="false"/>
          <w:sz w:val="22"/>
          <w:szCs w:val="22"/>
        </w:rPr>
        <w:t xml:space="preserve">Scope is limited to data acquisition. The module does not score or rank institutions; weighting and comparison are the job of the downstream application. Each variable is tagged with a use_type (clustering, descriptive, or exploratory) and a comparison_scope (cross_category or within_category) to make those design intents explicit in the data layer.</w:t>
      </w:r>
    </w:p>
    <w:p>
      <w:pPr>
        <w:pStyle w:val="Heading1"/>
        <w:spacing w:after="140" w:before="240"/>
      </w:pPr>
      <w:r>
        <w:rPr>
          <w:rFonts w:ascii="Arial" w:cs="Arial" w:eastAsia="Arial" w:hAnsi="Arial"/>
          <w:b/>
          <w:bCs/>
        </w:rPr>
        <w:t xml:space="preserve">Data architecture</w:t>
      </w:r>
    </w:p>
    <w:p>
      <w:pPr>
        <w:spacing w:after="160"/>
      </w:pPr>
      <w:r>
        <w:rPr>
          <w:rFonts w:ascii="Arial" w:cs="Arial" w:eastAsia="Arial" w:hAnsi="Arial"/>
          <w:b w:val="false"/>
          <w:bCs w:val="false"/>
          <w:i w:val="false"/>
          <w:iCs w:val="false"/>
          <w:sz w:val="22"/>
          <w:szCs w:val="22"/>
        </w:rPr>
        <w:t xml:space="preserve">Same two-table shape as the aid module. The shared schools.csv provides institutional attributes (joined on unitid); the module writes its own facts and variables tables to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7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output/adm_facts.csv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x year x metric. Columns: unitid, year, metric, value, var_type (raw / computed / external).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output/adm_variables.csv</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metric (11 rows). Metric metadata including use_type and comparison_scope tags. Shape matches every module.</w:t>
            </w:r>
          </w:p>
        </w:tc>
      </w:tr>
    </w:tbl>
    <w:p>
      <w:pPr>
        <w:spacing w:after="120"/>
      </w:pPr>
      <w:r>
        <w:t xml:space="preserve"/>
      </w:r>
    </w:p>
    <w:p>
      <w:pPr>
        <w:pStyle w:val="Heading1"/>
        <w:spacing w:after="140" w:before="240"/>
      </w:pPr>
      <w:r>
        <w:rPr>
          <w:rFonts w:ascii="Arial" w:cs="Arial" w:eastAsia="Arial" w:hAnsi="Arial"/>
          <w:b/>
          <w:bCs/>
        </w:rPr>
        <w:t xml:space="preserve">The eleven admissions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300"/>
        <w:gridCol w:w="3560"/>
      </w:tblGrid>
      <w:tr>
        <w:tc>
          <w:tcPr>
            <w:tcW w:type="dxa" w:w="6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Source &amp; use</w:t>
            </w:r>
          </w:p>
        </w:tc>
        <w:tc>
          <w:tcPr>
            <w:tcW w:type="dxa" w:w="35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Acceptance rate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clustering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DRVADM precomputed or ADM ADMSSN/APPLCN with gender-breakout fallback</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Yield rate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clustering</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DRVADM precomputed or ADM ENRLT/ADMSSN with gender-breakout fallback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 volume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clustering (within-category)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Scale of demand; correlated with size, but adds demand-intensity signal</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SAT mid-50% composite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DESCRIPTIVE ONLY</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bias under test-optional; not used for clustering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 mid-50% composite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DESCRIPTIVE ONLY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Kept separate from SAT (no concordance); not used for clustering</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 submitting SAT</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clustering</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to SAT mid-50; promoted to clustering in its own right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Percent submitting ACT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IPEDS, clustering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Companion to ACT mid-50</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Yield gap, men vs women</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IPEDS, EXPLORATORY</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Carried but not a core variable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Pct in top 10% of HS class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CDS / Academic Insights, clustering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 coverage (~45%); metric 8</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ED acceptance rate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CDS / Academic Insights, clustering</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coverage (~45%); metric 100. NA can mean no ED program</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share of applications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(CDS / IPEDS), clustering (within-category)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metric 194 (ED apps) / IPEDS APPLCN. Numerator ~45% coverage</w:t>
            </w:r>
          </w:p>
        </w:tc>
      </w:tr>
    </w:tbl>
    <w:p>
      <w:pPr>
        <w:spacing w:after="120"/>
      </w:pPr>
      <w:r>
        <w:t xml:space="preserve"/>
      </w:r>
    </w:p>
    <w:p>
      <w:pPr>
        <w:pStyle w:val="Heading1"/>
        <w:spacing w:after="140" w:before="240"/>
      </w:pPr>
      <w:r>
        <w:rPr>
          <w:rFonts w:ascii="Arial" w:cs="Arial" w:eastAsia="Arial" w:hAnsi="Arial"/>
          <w:b/>
          <w:bCs/>
        </w:rPr>
        <w:t xml:space="preserve">Test scores as descriptive, not clustering</w:t>
      </w:r>
    </w:p>
    <w:p>
      <w:pPr>
        <w:spacing w:after="160"/>
      </w:pPr>
      <w:r>
        <w:rPr>
          <w:rFonts w:ascii="Arial" w:cs="Arial" w:eastAsia="Arial" w:hAnsi="Arial"/>
          <w:b w:val="false"/>
          <w:bCs w:val="false"/>
          <w:i w:val="false"/>
          <w:iCs w:val="false"/>
          <w:sz w:val="22"/>
          <w:szCs w:val="22"/>
        </w:rPr>
        <w:t xml:space="preserve">The most consequential design decision in this module: SAT and ACT mid-50% scores are tagged use_type = descriptive and are not used by the downstream application for clustering or peer-set assembly. The reason is the test-optional landscape: an institution’s reported mid-50% reflects only students who submitted scores, which in a test-optional era is a self-selected, often-small, often-strong subset. Two institutions reporting identical mid-50% scores can have entirely different testing cultures - one where 25 percent of enrollees submitted, one where 85 percent did. Treating the score as a clustering variable would push these institutions together when they should be apart.</w:t>
      </w:r>
    </w:p>
    <w:p>
      <w:pPr>
        <w:spacing w:after="160"/>
      </w:pPr>
      <w:r>
        <w:rPr>
          <w:rFonts w:ascii="Arial" w:cs="Arial" w:eastAsia="Arial" w:hAnsi="Arial"/>
          <w:b w:val="false"/>
          <w:bCs w:val="false"/>
          <w:i w:val="false"/>
          <w:iCs w:val="false"/>
          <w:sz w:val="22"/>
          <w:szCs w:val="22"/>
        </w:rPr>
        <w:t xml:space="preserve">Two corollaries. First, SAT and ACT are stored as separate variables - with descriptive use, there is no need to concord them to a single composite. Second, the submission rates (pct_submitting_sat and pct_submitting_act) are promoted to core clustering variables in their own right. "What kind of testing institution is this" is a clean, reliably measured peer separator, distinct from the compromised score.</w:t>
      </w:r>
    </w:p>
    <w:p>
      <w:pPr>
        <w:pStyle w:val="Heading1"/>
        <w:spacing w:after="140" w:before="240"/>
      </w:pPr>
      <w:r>
        <w:rPr>
          <w:rFonts w:ascii="Arial" w:cs="Arial" w:eastAsia="Arial" w:hAnsi="Arial"/>
          <w:b/>
          <w:bCs/>
        </w:rPr>
        <w:t xml:space="preserve">Why no test-policy variable</w:t>
      </w:r>
    </w:p>
    <w:p>
      <w:pPr>
        <w:spacing w:after="160"/>
      </w:pPr>
      <w:r>
        <w:rPr>
          <w:rFonts w:ascii="Arial" w:cs="Arial" w:eastAsia="Arial" w:hAnsi="Arial"/>
          <w:b w:val="false"/>
          <w:bCs w:val="false"/>
          <w:i w:val="false"/>
          <w:iCs w:val="false"/>
          <w:sz w:val="22"/>
          <w:szCs w:val="22"/>
        </w:rPr>
        <w:t xml:space="preserve">The variable design originally included a CDS-sourced test policy variable - test-optional, test-required, or test-blind. Academic Insights does not expose a metric for this categorization, so the variable is dropped from the module rather than carried as a placeholder. The testing-culture signal is captured indirectly by the two submission-rate variables: a school that is functionally test-optional shows a low submission rate; a school that requires testing shows a high one. The drop preserves the spirit of the original design without inventing data the API does not provide.</w:t>
      </w:r>
    </w:p>
    <w:p>
      <w:pPr>
        <w:pStyle w:val="Heading1"/>
        <w:spacing w:after="140" w:before="240"/>
      </w:pPr>
      <w:r>
        <w:rPr>
          <w:rFonts w:ascii="Arial" w:cs="Arial" w:eastAsia="Arial" w:hAnsi="Arial"/>
          <w:b/>
          <w:bCs/>
        </w:rPr>
        <w:t xml:space="preserve">Two early-decision variables</w:t>
      </w:r>
    </w:p>
    <w:p>
      <w:pPr>
        <w:spacing w:after="160"/>
      </w:pPr>
      <w:r>
        <w:rPr>
          <w:rFonts w:ascii="Arial" w:cs="Arial" w:eastAsia="Arial" w:hAnsi="Arial"/>
          <w:b w:val="false"/>
          <w:bCs w:val="false"/>
          <w:i w:val="false"/>
          <w:iCs w:val="false"/>
          <w:sz w:val="22"/>
          <w:szCs w:val="22"/>
        </w:rPr>
        <w:t xml:space="preserve">Early decision is captured by two complementary measures rather than a single ED variable. ed_acceptance_rate (Academic Insights metric 100, raw) is the demand-side measure: among students who applied early decision, what fraction were admitted. It is typically high at selective institutions that prefer demonstrated commitment. ed_share_of_applications (Academic Insights metric 194 divided by IPEDS APPLCN, computed) is the strategy-side measure: of all applicants, what fraction chose ED. It captures how heavily an institution leans on ED as a class-shaping tool. Together the pair characterizes an institution’s ED program; on their own, each tells only half the story.</w:t>
      </w:r>
    </w:p>
    <w:p>
      <w:pPr>
        <w:spacing w:after="160"/>
      </w:pPr>
      <w:r>
        <w:rPr>
          <w:rFonts w:ascii="Arial" w:cs="Arial" w:eastAsia="Arial" w:hAnsi="Arial"/>
          <w:b w:val="false"/>
          <w:bCs w:val="false"/>
          <w:i w:val="false"/>
          <w:iCs w:val="false"/>
          <w:sz w:val="22"/>
          <w:szCs w:val="22"/>
        </w:rPr>
        <w:t xml:space="preserve">Both metrics inherit the ~45 percent coverage limit of the Academic Insights survey on the numerator side. The denominator for ed_share_of_applications is IPEDS APPLCN (near-universal coverage), so the share is well-defined wherever the numerator exists. An NA value in either ED metric can mean either "school does not have an ED program" or "school does not report to Academic Insights" - the pipeline cannot always distinguish these cases; the downstream application may want to interpret conservatively.</w:t>
      </w:r>
    </w:p>
    <w:p>
      <w:pPr>
        <w:spacing w:after="160"/>
      </w:pPr>
      <w:r>
        <w:rPr>
          <w:rFonts w:ascii="Arial" w:cs="Arial" w:eastAsia="Arial" w:hAnsi="Arial"/>
          <w:b w:val="false"/>
          <w:bCs w:val="false"/>
          <w:i w:val="false"/>
          <w:iCs w:val="false"/>
          <w:sz w:val="22"/>
          <w:szCs w:val="22"/>
        </w:rPr>
        <w:t xml:space="preserve">Academic Insights metric 194 (ED applicants count) is pulled internally as scaffolding for the share computation but is not written to facts in its own right. The raw count correlates almost exclusively with school size and is not informative as a standalone clustering variable; the share is the comparable measure.</w:t>
      </w:r>
    </w:p>
    <w:p>
      <w:pPr>
        <w:pStyle w:val="Heading1"/>
        <w:spacing w:after="140" w:before="240"/>
      </w:pPr>
      <w:r>
        <w:rPr>
          <w:rFonts w:ascii="Arial" w:cs="Arial" w:eastAsia="Arial" w:hAnsi="Arial"/>
          <w:b/>
          <w:bCs/>
        </w:rPr>
        <w:t xml:space="preserve">Year-aware variable handling</w:t>
      </w:r>
    </w:p>
    <w:p>
      <w:pPr>
        <w:spacing w:after="160"/>
      </w:pPr>
      <w:r>
        <w:rPr>
          <w:rFonts w:ascii="Arial" w:cs="Arial" w:eastAsia="Arial" w:hAnsi="Arial"/>
          <w:b w:val="false"/>
          <w:bCs w:val="false"/>
          <w:i w:val="false"/>
          <w:iCs w:val="false"/>
          <w:sz w:val="22"/>
          <w:szCs w:val="22"/>
        </w:rPr>
        <w:t xml:space="preserve">The IPEDS ADM table was reorganized during the panel period. In 2020-21 the totals APPLCN, ADMSSN, and ENRLT are direct columns alongside men/women gender breakouts. In 2024-25 the totals are gone - only gender breakouts remain, expanded to four categories (men, women, another gender, gender unknown). The pipeline tries each direct total first and falls back to summing the gender components, so the same code reads correctly across the whole panel.</w:t>
      </w:r>
    </w:p>
    <w:p>
      <w:pPr>
        <w:spacing w:after="160"/>
      </w:pPr>
      <w:r>
        <w:rPr>
          <w:rFonts w:ascii="Arial" w:cs="Arial" w:eastAsia="Arial" w:hAnsi="Arial"/>
          <w:b w:val="false"/>
          <w:bCs w:val="false"/>
          <w:i w:val="false"/>
          <w:iCs w:val="false"/>
          <w:sz w:val="22"/>
          <w:szCs w:val="22"/>
        </w:rPr>
        <w:t xml:space="preserve">Similarly, SAT and ACT 50th-percentile scores (SATVR50, SATMT50, ACTCM50) appear in newer ADM collections but not in 2020-21. Where the 50th is absent, the pipeline computes the 25/75 midpoint as the SAT or ACT mid-50% measure. Both fallbacks produce reasonable comparison values within a year and across years.</w:t>
      </w:r>
    </w:p>
    <w:p>
      <w:pPr>
        <w:spacing w:after="160"/>
      </w:pPr>
      <w:r>
        <w:rPr>
          <w:rFonts w:ascii="Arial" w:cs="Arial" w:eastAsia="Arial" w:hAnsi="Arial"/>
          <w:b w:val="false"/>
          <w:bCs w:val="false"/>
          <w:i w:val="false"/>
          <w:iCs w:val="false"/>
          <w:sz w:val="22"/>
          <w:szCs w:val="22"/>
        </w:rPr>
        <w:t xml:space="preserve">The pipeline also prefers IPEDS’s precomputed acceptance-rate and yield-rate variables (DRVADM’s DVADM01 and DVADM04) when present, falling back to computing the ratios directly from ADM components otherwise. The var_type field records which path produced each value.</w:t>
      </w:r>
    </w:p>
    <w:p>
      <w:pPr>
        <w:pStyle w:val="Heading1"/>
        <w:spacing w:after="140" w:before="240"/>
      </w:pPr>
      <w:r>
        <w:rPr>
          <w:rFonts w:ascii="Arial" w:cs="Arial" w:eastAsia="Arial" w:hAnsi="Arial"/>
          <w:b/>
          <w:bCs/>
        </w:rPr>
        <w:t xml:space="preserve">Academic concentration in schools.csv</w:t>
      </w:r>
    </w:p>
    <w:p>
      <w:pPr>
        <w:spacing w:after="160"/>
      </w:pPr>
      <w:r>
        <w:rPr>
          <w:rFonts w:ascii="Arial" w:cs="Arial" w:eastAsia="Arial" w:hAnsi="Arial"/>
          <w:b w:val="false"/>
          <w:bCs w:val="false"/>
          <w:i w:val="false"/>
          <w:iCs w:val="false"/>
          <w:sz w:val="22"/>
          <w:szCs w:val="22"/>
        </w:rPr>
        <w:t xml:space="preserve">The variable design includes Carnegie 2025 academic concentration - how heavily an institution’s degrees are concentrated in a single CIP field, and what that dominant field is - as admissions-relevant context. These two values (apm_max_cip2percent and apm_max_cip2_name) live in schools.csv rather than in adm_facts. Two reasons: they are a one-time Carnegie snapshot (the 2025 Institutional Classification is based on a 2020-2023 three-year average, not year-varying); and apm_max_cip2_name is a text value, while the facts schema’s value column is numeric. Both arguments make the schools table the right home. The downstream application reads them alongside the other institutional attributes the schools table carries.</w:t>
      </w:r>
    </w:p>
    <w:p>
      <w:pPr>
        <w:pStyle w:val="Heading1"/>
        <w:spacing w:after="140" w:before="240"/>
      </w:pPr>
      <w:r>
        <w:rPr>
          <w:rFonts w:ascii="Arial" w:cs="Arial" w:eastAsia="Arial" w:hAnsi="Arial"/>
          <w:b/>
          <w:bCs/>
        </w:rPr>
        <w:t xml:space="preserve">Academic Insights year-offset translation</w:t>
      </w:r>
    </w:p>
    <w:p>
      <w:pPr>
        <w:spacing w:after="160"/>
      </w:pPr>
      <w:r>
        <w:rPr>
          <w:rFonts w:ascii="Arial" w:cs="Arial" w:eastAsia="Arial" w:hAnsi="Arial"/>
          <w:b w:val="false"/>
          <w:bCs w:val="false"/>
          <w:i w:val="false"/>
          <w:iCs w:val="false"/>
          <w:color w:val="000000"/>
          <w:sz w:val="22"/>
          <w:szCs w:val="22"/>
        </w:rPr>
        <w:t xml:space="preserve">During the project we discovered that Academic Insights labels its data with a 2-year lead over IPEDS table-name years. The two systems use different year conventions: IPEDS uses fall-year (HD2024 = the 2024-25 academic year), while Academic Insights uses spring-year (AI year 2026 = the 2025-26 academic year). Additionally, AI publishes data with a 2-year lead, so AI year Y refers to the same academic year as IPEDS year Y - 2.</w:t>
      </w:r>
    </w:p>
    <w:p>
      <w:pPr>
        <w:spacing w:after="160"/>
      </w:pPr>
      <w:r>
        <w:rPr>
          <w:rFonts w:ascii="Arial" w:cs="Arial" w:eastAsia="Arial" w:hAnsi="Arial"/>
          <w:b w:val="false"/>
          <w:bCs w:val="false"/>
          <w:i w:val="false"/>
          <w:iCs w:val="false"/>
          <w:color w:val="000000"/>
          <w:sz w:val="22"/>
          <w:szCs w:val="22"/>
        </w:rPr>
        <w:t xml:space="preserve">This was verified empirically on Holy Cross applicant counts: across five years of data, AI year 2022 = 7,087 matched IPEDS year 2020 = 7,087 exactly, and every subsequent year pair matched to the unit. The +2 offset is confirmed.</w:t>
      </w:r>
    </w:p>
    <w:p>
      <w:pPr>
        <w:spacing w:after="160"/>
      </w:pPr>
      <w:r>
        <w:rPr>
          <w:rFonts w:ascii="Arial" w:cs="Arial" w:eastAsia="Arial" w:hAnsi="Arial"/>
          <w:b w:val="false"/>
          <w:bCs w:val="false"/>
          <w:i w:val="false"/>
          <w:iCs w:val="false"/>
          <w:color w:val="000000"/>
          <w:sz w:val="22"/>
          <w:szCs w:val="22"/>
        </w:rPr>
        <w:t xml:space="preserve">For this module’s Academic Insights metrics (pct_top10_hs (metric 8), ed_acceptance_rate (metric 100), and the ED applicants count (metric 194) used as the numerator of ed_share_of_applications), the pipeline translates years on the way in. Each CDS metric is pulled one (metric, AI year) pair at a time, with AI year = ipeds_to_ai_year(ipeds_year). Returned rows are tagged with our IPEDS-naming year before being written to facts.</w:t>
      </w:r>
    </w:p>
    <w:p>
      <w:pPr>
        <w:spacing w:after="160"/>
      </w:pPr>
      <w:r>
        <w:rPr>
          <w:rFonts w:ascii="Arial" w:cs="Arial" w:eastAsia="Arial" w:hAnsi="Arial"/>
          <w:b w:val="false"/>
          <w:bCs w:val="false"/>
          <w:i w:val="false"/>
          <w:iCs w:val="false"/>
          <w:color w:val="000000"/>
          <w:sz w:val="22"/>
          <w:szCs w:val="22"/>
        </w:rPr>
        <w:t xml:space="preserve">Helper functions in schools_pipeline.R: ipeds_to_ai_year(y) returns y + 2L; ai_to_ipeds_year(y) returns y - 2L. The pipeline’s log lines show both year framings (e.g., “metric 374 / AI 2026 (IPEDS 2024): 1182 rows”) so the mapping is verifiable at runtime.</w:t>
      </w:r>
    </w:p>
    <w:p>
      <w:pPr>
        <w:pStyle w:val="Heading1"/>
        <w:spacing w:after="140" w:before="240"/>
      </w:pPr>
      <w:r>
        <w:rPr>
          <w:rFonts w:ascii="Arial" w:cs="Arial" w:eastAsia="Arial" w:hAnsi="Arial"/>
          <w:b/>
          <w:bCs/>
        </w:rPr>
        <w:t xml:space="preserve">NECHE dashboard tagging</w:t>
      </w:r>
    </w:p>
    <w:p>
      <w:pPr>
        <w:spacing w:after="160"/>
      </w:pPr>
      <w:r>
        <w:rPr>
          <w:rFonts w:ascii="Arial" w:cs="Arial" w:eastAsia="Arial" w:hAnsi="Arial"/>
          <w:b w:val="false"/>
          <w:bCs w:val="false"/>
          <w:i w:val="false"/>
          <w:iCs w:val="false"/>
          <w:color w:val="000000"/>
          <w:sz w:val="22"/>
          <w:szCs w:val="22"/>
        </w:rPr>
        <w:t xml:space="preserve">A new column neche_dashboard has been added to the variables file alongside the existing neche_peer_set flag. The two flags answer different questions:</w:t>
      </w:r>
    </w:p>
    <w:p>
      <w:pPr>
        <w:pStyle w:val="ListParagraph"/>
        <w:numPr>
          <w:ilvl w:val="0"/>
          <w:numId w:val="1"/>
        </w:numPr>
        <w:spacing w:after="80"/>
      </w:pPr>
      <w:r>
        <w:rPr>
          <w:rFonts w:ascii="Arial" w:cs="Arial" w:eastAsia="Arial" w:hAnsi="Arial"/>
          <w:sz w:val="22"/>
          <w:szCs w:val="22"/>
        </w:rPr>
        <w:t xml:space="preserve">neche_peer_set marks variables used in NECHE’s peer-grouping algorithm for accreditation review. The full set across all modules totals seven variables.</w:t>
      </w:r>
    </w:p>
    <w:p>
      <w:pPr>
        <w:pStyle w:val="ListParagraph"/>
        <w:numPr>
          <w:ilvl w:val="0"/>
          <w:numId w:val="1"/>
        </w:numPr>
        <w:spacing w:after="80"/>
      </w:pPr>
      <w:r>
        <w:rPr>
          <w:rFonts w:ascii="Arial" w:cs="Arial" w:eastAsia="Arial" w:hAnsi="Arial"/>
          <w:sz w:val="22"/>
          <w:szCs w:val="22"/>
        </w:rPr>
        <w:t xml:space="preserve">neche_dashboard marks variables that draw from the same source data as a metric appearing on NECHE’s institutional dashboards. The interpretation is broad: a variable is flagged TRUE if it uses the same underlying IPEDS source data as a NECHE dashboard metric, even if our presentation differs (e.g., we may compute a percentage where NECHE shows raw counts).</w:t>
      </w:r>
    </w:p>
    <w:p>
      <w:pPr>
        <w:spacing w:after="160"/>
      </w:pPr>
      <w:r>
        <w:rPr>
          <w:rFonts w:ascii="Arial" w:cs="Arial" w:eastAsia="Arial" w:hAnsi="Arial"/>
          <w:b w:val="false"/>
          <w:bCs w:val="false"/>
          <w:i w:val="false"/>
          <w:iCs w:val="false"/>
          <w:color w:val="000000"/>
          <w:sz w:val="22"/>
          <w:szCs w:val="22"/>
        </w:rPr>
        <w:t xml:space="preserve">In this module, no variables are flagged neche_dashboard = TRUE. NECHE’s institutional dashboards do not currently include the admissions-side metrics in this module (acceptance rate, yield, test submission, etc.); these are admissions-process measures, not the enrollment/outcome measures NECHE tracks. The column exists for schema consistency across modules but is FALSE for every row.</w:t>
      </w:r>
    </w:p>
    <w:p>
      <w:pPr>
        <w:spacing w:after="160"/>
      </w:pPr>
      <w:r>
        <w:rPr>
          <w:rFonts w:ascii="Arial" w:cs="Arial" w:eastAsia="Arial" w:hAnsi="Arial"/>
          <w:b w:val="false"/>
          <w:bCs w:val="false"/>
          <w:i w:val="false"/>
          <w:iCs w:val="false"/>
          <w:color w:val="000000"/>
          <w:sz w:val="22"/>
          <w:szCs w:val="22"/>
        </w:rPr>
        <w:t xml:space="preserve">The flag is intentionally permissive: it identifies variables that participate in NECHE’s dashboard ecosystem at the source-data level, rather than requiring exact construct match. Downstream applications wanting a strict NECHE dashboard replication should treat the flag as a starting point and check construct-level alignment for each flagged variable.</w:t>
      </w:r>
    </w:p>
    <w:p>
      <w:pPr>
        <w:pStyle w:val="Heading1"/>
        <w:spacing w:after="140" w:before="240"/>
      </w:pPr>
      <w:r>
        <w:rPr>
          <w:rFonts w:ascii="Arial" w:cs="Arial" w:eastAsia="Arial" w:hAnsi="Arial"/>
          <w:b/>
          <w:bCs/>
        </w:rPr>
        <w:t xml:space="preserve">Known limitations</w:t>
      </w:r>
    </w:p>
    <w:p>
      <w:pPr>
        <w:pStyle w:val="ListParagraph"/>
        <w:numPr>
          <w:ilvl w:val="0"/>
          <w:numId w:val="1"/>
        </w:numPr>
        <w:spacing w:after="80"/>
      </w:pPr>
      <w:r>
        <w:rPr>
          <w:rFonts w:ascii="Arial" w:cs="Arial" w:eastAsia="Arial" w:hAnsi="Arial"/>
          <w:sz w:val="22"/>
          <w:szCs w:val="22"/>
        </w:rPr>
        <w:t xml:space="preserve">IPEDS admissions data describe full-time, first-time, degree-seeking undergraduates - the entering cohort, not all students. About 16 percent of private not-for-profit institutions enroll no entering cohort and therefore have no admissions data; this is structural, not missing.</w:t>
      </w:r>
    </w:p>
    <w:p>
      <w:pPr>
        <w:pStyle w:val="ListParagraph"/>
        <w:numPr>
          <w:ilvl w:val="0"/>
          <w:numId w:val="1"/>
        </w:numPr>
        <w:spacing w:after="80"/>
      </w:pPr>
      <w:r>
        <w:rPr>
          <w:rFonts w:ascii="Arial" w:cs="Arial" w:eastAsia="Arial" w:hAnsi="Arial"/>
          <w:sz w:val="22"/>
          <w:szCs w:val="22"/>
        </w:rPr>
        <w:t xml:space="preserve">Test scores are problematic for clustering due to submission bias; they are tagged descriptive to surface this in the data layer.</w:t>
      </w:r>
    </w:p>
    <w:p>
      <w:pPr>
        <w:pStyle w:val="ListParagraph"/>
        <w:numPr>
          <w:ilvl w:val="0"/>
          <w:numId w:val="1"/>
        </w:numPr>
        <w:spacing w:after="80"/>
      </w:pPr>
      <w:r>
        <w:rPr>
          <w:rFonts w:ascii="Arial" w:cs="Arial" w:eastAsia="Arial" w:hAnsi="Arial"/>
          <w:sz w:val="22"/>
          <w:szCs w:val="22"/>
        </w:rPr>
        <w:t xml:space="preserve">The CDS-sourced metrics cover ~45 percent of the universe. They are an enrichment layer, not universe-wide measures.</w:t>
      </w:r>
    </w:p>
    <w:p>
      <w:pPr>
        <w:pStyle w:val="ListParagraph"/>
        <w:numPr>
          <w:ilvl w:val="0"/>
          <w:numId w:val="1"/>
        </w:numPr>
        <w:spacing w:after="80"/>
      </w:pPr>
      <w:r>
        <w:rPr>
          <w:rFonts w:ascii="Arial" w:cs="Arial" w:eastAsia="Arial" w:hAnsi="Arial"/>
          <w:sz w:val="22"/>
          <w:szCs w:val="22"/>
        </w:rPr>
        <w:t xml:space="preserve">For the two ED metrics, an NA value can mean "no ED program" or "school does not report to Academic Insights"; these cases are not always distinguishable.</w:t>
      </w:r>
    </w:p>
    <w:p>
      <w:pPr>
        <w:pStyle w:val="ListParagraph"/>
        <w:numPr>
          <w:ilvl w:val="0"/>
          <w:numId w:val="1"/>
        </w:numPr>
        <w:spacing w:after="80"/>
      </w:pPr>
      <w:r>
        <w:rPr>
          <w:rFonts w:ascii="Arial" w:cs="Arial" w:eastAsia="Arial" w:hAnsi="Arial"/>
          <w:sz w:val="22"/>
          <w:szCs w:val="22"/>
        </w:rPr>
        <w:t xml:space="preserve">The Carnegie academic-concentration measures reflect a 2020-2023 three-year average and are applied uniformly to all panel years - the same documented simplification used for other Carnegie attributes.</w:t>
      </w:r>
    </w:p>
    <w:p>
      <w:pPr>
        <w:pStyle w:val="Heading1"/>
        <w:spacing w:after="140" w:before="240"/>
      </w:pPr>
      <w:r>
        <w:rPr>
          <w:rFonts w:ascii="Arial" w:cs="Arial" w:eastAsia="Arial" w:hAnsi="Arial"/>
          <w:b/>
          <w:bCs/>
        </w:rPr>
        <w:t xml:space="preserve">How to run</w:t>
      </w:r>
    </w:p>
    <w:p>
      <w:pPr>
        <w:pStyle w:val="ListParagraph"/>
        <w:numPr>
          <w:ilvl w:val="0"/>
          <w:numId w:val="1"/>
        </w:numPr>
        <w:spacing w:after="80"/>
      </w:pPr>
      <w:r>
        <w:rPr>
          <w:rFonts w:ascii="Arial" w:cs="Arial" w:eastAsia="Arial" w:hAnsi="Arial"/>
          <w:sz w:val="22"/>
          <w:szCs w:val="22"/>
        </w:rPr>
        <w:t xml:space="preserve">Set the API key once: copy .Renviron.template to .Renviron and fill in ACADEMIC_INSIGHTS_API_KEY. Restart R if it was already running.</w:t>
      </w:r>
    </w:p>
    <w:p>
      <w:pPr>
        <w:pStyle w:val="ListParagraph"/>
        <w:numPr>
          <w:ilvl w:val="0"/>
          <w:numId w:val="1"/>
        </w:numPr>
        <w:spacing w:after="80"/>
      </w:pPr>
      <w:r>
        <w:rPr>
          <w:rFonts w:ascii="Arial" w:cs="Arial" w:eastAsia="Arial" w:hAnsi="Arial"/>
          <w:sz w:val="22"/>
          <w:szCs w:val="22"/>
        </w:rPr>
        <w:t xml:space="preserve">Build schools first if not already built: source("R/schools_pipeline.R"); build_schools(). The Carnegie academic-concentration columns are included automatically.</w:t>
      </w:r>
    </w:p>
    <w:p>
      <w:pPr>
        <w:pStyle w:val="ListParagraph"/>
        <w:numPr>
          <w:ilvl w:val="0"/>
          <w:numId w:val="1"/>
        </w:numPr>
        <w:spacing w:after="80"/>
      </w:pPr>
      <w:r>
        <w:rPr>
          <w:rFonts w:ascii="Arial" w:cs="Arial" w:eastAsia="Arial" w:hAnsi="Arial"/>
          <w:sz w:val="22"/>
          <w:szCs w:val="22"/>
        </w:rPr>
        <w:t xml:space="preserve">Source the module and run: source("R/admissions_module_pipeline.R"); res &lt;- run_admissions_module(). All metric IDs are pre-set; no further confirmation is required. Outputs are output/adm_facts.csv and output/adm_variables.csv, plus a coverage report by metric and control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2026-05-21T14:17:06.221Z</dcterms:created>
  <dcterms:modified xsi:type="dcterms:W3CDTF">2026-05-21T14:17:06.221Z</dcterms:modified>
</cp:coreProperties>
</file>

<file path=docProps/custom.xml><?xml version="1.0" encoding="utf-8"?>
<Properties xmlns="http://schemas.openxmlformats.org/officeDocument/2006/custom-properties" xmlns:vt="http://schemas.openxmlformats.org/officeDocument/2006/docPropsVTypes"/>
</file>