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8"/>
          <w:sz w:val="36"/>
          <w:szCs w:val="36"/>
        </w:rPr>
        <w:t xml:space="preserve">Financial Aid Module - Methodology</w:t>
      </w:r>
    </w:p>
    <w:p>
      <w:pPr>
        <w:spacing w:after="260"/>
      </w:pPr>
      <w:r>
        <w:rPr>
          <w:rFonts w:ascii="Arial" w:cs="Arial" w:eastAsia="Arial" w:hAnsi="Arial"/>
          <w:i/>
          <w:iCs/>
          <w:color w:val="595959"/>
          <w:sz w:val="22"/>
          <w:szCs w:val="22"/>
        </w:rPr>
        <w:t xml:space="preserve">Two-table data architecture - Peer-comparison data layer - College of the Holy Cross</w:t>
      </w:r>
    </w:p>
    <w:p>
      <w:pPr>
        <w:pStyle w:val="Heading1"/>
        <w:spacing w:after="140" w:before="240"/>
      </w:pPr>
      <w:r>
        <w:rPr>
          <w:rFonts w:ascii="Arial" w:cs="Arial" w:eastAsia="Arial" w:hAnsi="Arial"/>
          <w:b/>
          <w:bCs/>
        </w:rPr>
        <w:t xml:space="preserve">Purpose &amp; scope</w:t>
      </w:r>
    </w:p>
    <w:p>
      <w:pPr>
        <w:spacing w:after="160"/>
      </w:pPr>
      <w:r>
        <w:rPr>
          <w:rFonts w:ascii="Arial" w:cs="Arial" w:eastAsia="Arial" w:hAnsi="Arial"/>
          <w:b w:val="false"/>
          <w:bCs w:val="false"/>
          <w:i w:val="false"/>
          <w:iCs w:val="false"/>
          <w:color w:val="000000"/>
          <w:sz w:val="22"/>
          <w:szCs w:val="22"/>
        </w:rPr>
        <w:t xml:space="preserve">This module assembles a five-year, institution-level financial-aid panel from publicly released IPEDS data and the U.S. News Academic Insights API. It is the first module in a peer-comparison data layer that begins focused on Holy Cross and is designed to generalize so that any institution can later be selected as the basis of a comparison set.</w:t>
      </w:r>
    </w:p>
    <w:p>
      <w:pPr>
        <w:spacing w:after="160"/>
      </w:pPr>
      <w:r>
        <w:rPr>
          <w:rFonts w:ascii="Arial" w:cs="Arial" w:eastAsia="Arial" w:hAnsi="Arial"/>
          <w:b w:val="false"/>
          <w:bCs w:val="false"/>
          <w:i w:val="false"/>
          <w:iCs w:val="false"/>
          <w:color w:val="000000"/>
          <w:sz w:val="22"/>
          <w:szCs w:val="22"/>
        </w:rPr>
        <w:t xml:space="preserve">Scope is limited to data acquisition. The module does not score or rank institutions; weighting and comparison are the job of the downstream application. Keeping the data layer broad and unscored means new metrics and new comparison universes can be added without reworking a scoring formula.</w:t>
      </w:r>
    </w:p>
    <w:p>
      <w:pPr>
        <w:pStyle w:val="Heading1"/>
        <w:spacing w:after="140" w:before="240"/>
      </w:pPr>
      <w:r>
        <w:rPr>
          <w:rFonts w:ascii="Arial" w:cs="Arial" w:eastAsia="Arial" w:hAnsi="Arial"/>
          <w:b/>
          <w:bCs/>
        </w:rPr>
        <w:t xml:space="preserve">Data architecture</w:t>
      </w:r>
    </w:p>
    <w:p>
      <w:pPr>
        <w:spacing w:after="160"/>
      </w:pPr>
      <w:r>
        <w:rPr>
          <w:rFonts w:ascii="Arial" w:cs="Arial" w:eastAsia="Arial" w:hAnsi="Arial"/>
          <w:b w:val="false"/>
          <w:bCs w:val="false"/>
          <w:i w:val="false"/>
          <w:iCs w:val="false"/>
          <w:color w:val="000000"/>
          <w:sz w:val="22"/>
          <w:szCs w:val="22"/>
        </w:rPr>
        <w:t xml:space="preserve">This module follows the project’s two-table design. The same shape will be used by every future module (admissions, outcomes, finance, instructional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W w:type="dxa" w:w="71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schools.csv (shared)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row per institution. Stable attributes used by every module: unitid, instnm, sector, control, iclevel, stabbr, control_grp, c21basic, carnegieic, usnews_classification, in_ranked_universe, latest_year. Built once by schools_pipeline.R; this module reads it.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aid_facts.csv</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row per institution x year x metric. Columns: unitid, year, metric, value, var_type. var_type marks how the value was produced - raw (direct IPEDS field), computed (derived in the pipeline), or external (Academic Insights).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aid_variables.csv</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row per metric (10 rows). Metric metadata - the same shape every future module will use. Columns: metric, category, display_name, source, ipeds_table_or_formula, use_type, comparison_scope, format, neche_peer_set, coverage_note, notes.</w:t>
            </w:r>
          </w:p>
        </w:tc>
      </w:tr>
    </w:tbl>
    <w:p>
      <w:pPr>
        <w:spacing w:after="120"/>
      </w:pPr>
      <w:r>
        <w:t xml:space="preserve"/>
      </w:r>
    </w:p>
    <w:p>
      <w:pPr>
        <w:spacing w:after="160"/>
      </w:pPr>
      <w:r>
        <w:rPr>
          <w:rFonts w:ascii="Arial" w:cs="Arial" w:eastAsia="Arial" w:hAnsi="Arial"/>
          <w:b w:val="false"/>
          <w:bCs w:val="false"/>
          <w:i w:val="false"/>
          <w:iCs w:val="false"/>
          <w:color w:val="000000"/>
          <w:sz w:val="22"/>
          <w:szCs w:val="22"/>
        </w:rPr>
        <w:t xml:space="preserve">There is no wide convenience export. A wide one-row-per-school-year table can be constructed in two lines with tidyr::pivot_wider() from the facts table whenever the application needs it; the facts table is the canonical form.</w:t>
      </w:r>
    </w:p>
    <w:p>
      <w:pPr>
        <w:pStyle w:val="Heading1"/>
        <w:spacing w:after="140" w:before="240"/>
      </w:pPr>
      <w:r>
        <w:rPr>
          <w:rFonts w:ascii="Arial" w:cs="Arial" w:eastAsia="Arial" w:hAnsi="Arial"/>
          <w:b/>
          <w:bCs/>
        </w:rPr>
        <w:t xml:space="preserve">The ten aid metrics</w:t>
      </w:r>
    </w:p>
    <w:p>
      <w:pPr>
        <w:spacing w:after="160"/>
      </w:pPr>
      <w:r>
        <w:rPr>
          <w:rFonts w:ascii="Arial" w:cs="Arial" w:eastAsia="Arial" w:hAnsi="Arial"/>
          <w:b w:val="false"/>
          <w:bCs w:val="false"/>
          <w:i w:val="false"/>
          <w:iCs w:val="false"/>
          <w:color w:val="000000"/>
          <w:sz w:val="22"/>
          <w:szCs w:val="22"/>
        </w:rPr>
        <w:t xml:space="preserve">Financial aid is compared on ten metrics. Eight come from IPEDS, which every Title IV institution must report, giving near-universal coverage. Two come from the Common Data Set via Academic Insights and capture the concept of financial need, which IPEDS does not collect, at the cost of partial coverage. All ten are tagged use_type = clustering and comparison_scope = cross_category in aid_variables.csv.</w:t>
      </w:r>
    </w:p>
    <w:p>
      <w:pPr>
        <w:pStyle w:val="ListParagraph"/>
        <w:numPr>
          <w:ilvl w:val="0"/>
          <w:numId w:val="1"/>
        </w:numPr>
        <w:spacing w:after="80"/>
      </w:pPr>
      <w:r>
        <w:rPr>
          <w:rFonts w:ascii="Arial" w:cs="Arial" w:eastAsia="Arial" w:hAnsi="Arial"/>
          <w:sz w:val="22"/>
          <w:szCs w:val="22"/>
        </w:rPr>
        <w:t xml:space="preserve">Average net price - all aided students, and at the lowest income band ($0-30k).</w:t>
      </w:r>
    </w:p>
    <w:p>
      <w:pPr>
        <w:pStyle w:val="ListParagraph"/>
        <w:numPr>
          <w:ilvl w:val="0"/>
          <w:numId w:val="1"/>
        </w:numPr>
        <w:spacing w:after="80"/>
      </w:pPr>
      <w:r>
        <w:rPr>
          <w:rFonts w:ascii="Arial" w:cs="Arial" w:eastAsia="Arial" w:hAnsi="Arial"/>
          <w:sz w:val="22"/>
          <w:szCs w:val="22"/>
        </w:rPr>
        <w:t xml:space="preserve">Percent receiving Pell grants; percent receiving any grant aid; average institutional grant per recipient.</w:t>
      </w:r>
    </w:p>
    <w:p>
      <w:pPr>
        <w:pStyle w:val="ListParagraph"/>
        <w:numPr>
          <w:ilvl w:val="0"/>
          <w:numId w:val="1"/>
        </w:numPr>
        <w:spacing w:after="80"/>
      </w:pPr>
      <w:r>
        <w:rPr>
          <w:rFonts w:ascii="Arial" w:cs="Arial" w:eastAsia="Arial" w:hAnsi="Arial"/>
          <w:sz w:val="22"/>
          <w:szCs w:val="22"/>
        </w:rPr>
        <w:t xml:space="preserve">Institutional discount rate (computed: institutional grant divided by published tuition+fees).</w:t>
      </w:r>
    </w:p>
    <w:p>
      <w:pPr>
        <w:pStyle w:val="ListParagraph"/>
        <w:numPr>
          <w:ilvl w:val="0"/>
          <w:numId w:val="1"/>
        </w:numPr>
        <w:spacing w:after="80"/>
      </w:pPr>
      <w:r>
        <w:rPr>
          <w:rFonts w:ascii="Arial" w:cs="Arial" w:eastAsia="Arial" w:hAnsi="Arial"/>
          <w:sz w:val="22"/>
          <w:szCs w:val="22"/>
        </w:rPr>
        <w:t xml:space="preserve">Percent borrowing federal loans; average federal loan per borrower.</w:t>
      </w:r>
    </w:p>
    <w:p>
      <w:pPr>
        <w:pStyle w:val="ListParagraph"/>
        <w:numPr>
          <w:ilvl w:val="0"/>
          <w:numId w:val="1"/>
        </w:numPr>
        <w:spacing w:after="80"/>
      </w:pPr>
      <w:r>
        <w:rPr>
          <w:rFonts w:ascii="Arial" w:cs="Arial" w:eastAsia="Arial" w:hAnsi="Arial"/>
          <w:sz w:val="22"/>
          <w:szCs w:val="22"/>
        </w:rPr>
        <w:t xml:space="preserve">Average percent of need met (CDS / Academic Insights, metric_id 374).</w:t>
      </w:r>
    </w:p>
    <w:p>
      <w:pPr>
        <w:pStyle w:val="ListParagraph"/>
        <w:numPr>
          <w:ilvl w:val="0"/>
          <w:numId w:val="1"/>
        </w:numPr>
        <w:spacing w:after="80"/>
      </w:pPr>
      <w:r>
        <w:rPr>
          <w:rFonts w:ascii="Arial" w:cs="Arial" w:eastAsia="Arial" w:hAnsi="Arial"/>
          <w:sz w:val="22"/>
          <w:szCs w:val="22"/>
        </w:rPr>
        <w:t xml:space="preserve">Percent of students whose need was fully met (CDS / Academic Insights, metric_id 366).</w:t>
      </w:r>
    </w:p>
    <w:p>
      <w:pPr>
        <w:spacing w:after="160"/>
      </w:pPr>
      <w:r>
        <w:rPr>
          <w:rFonts w:ascii="Arial" w:cs="Arial" w:eastAsia="Arial" w:hAnsi="Arial"/>
          <w:b w:val="false"/>
          <w:bCs w:val="false"/>
          <w:i w:val="false"/>
          <w:iCs w:val="false"/>
          <w:color w:val="000000"/>
          <w:sz w:val="22"/>
          <w:szCs w:val="22"/>
        </w:rPr>
        <w:t xml:space="preserve">Detailed source variables and per-year host tables are in the companion crosswalk.</w:t>
      </w:r>
    </w:p>
    <w:p>
      <w:pPr>
        <w:pStyle w:val="Heading1"/>
        <w:spacing w:after="140" w:before="240"/>
      </w:pPr>
      <w:r>
        <w:rPr>
          <w:rFonts w:ascii="Arial" w:cs="Arial" w:eastAsia="Arial" w:hAnsi="Arial"/>
          <w:b/>
          <w:bCs/>
        </w:rPr>
        <w:t xml:space="preserve">The institution universe</w:t>
      </w:r>
    </w:p>
    <w:p>
      <w:pPr>
        <w:spacing w:after="160"/>
      </w:pPr>
      <w:r>
        <w:rPr>
          <w:rFonts w:ascii="Arial" w:cs="Arial" w:eastAsia="Arial" w:hAnsi="Arial"/>
          <w:b w:val="false"/>
          <w:bCs w:val="false"/>
          <w:i w:val="false"/>
          <w:iCs w:val="false"/>
          <w:color w:val="000000"/>
          <w:sz w:val="22"/>
          <w:szCs w:val="22"/>
        </w:rPr>
        <w:t xml:space="preserve">The universe is every public (IPEDS SECTOR 1) and private not-for-profit (SECTOR 2) four-year institution - roughly 2,470 institutions per year, about 2,600 distinct across the five collection years 2020-2024. Private for-profit institutions and two-year institutions are excluded by design.</w:t>
      </w:r>
    </w:p>
    <w:p>
      <w:pPr>
        <w:spacing w:after="160"/>
      </w:pPr>
      <w:r>
        <w:rPr>
          <w:rFonts w:ascii="Arial" w:cs="Arial" w:eastAsia="Arial" w:hAnsi="Arial"/>
          <w:b w:val="false"/>
          <w:bCs w:val="false"/>
          <w:i w:val="false"/>
          <w:iCs w:val="false"/>
          <w:color w:val="000000"/>
          <w:sz w:val="22"/>
          <w:szCs w:val="22"/>
        </w:rPr>
        <w:t xml:space="preserve">The shared schools.csv table carries one row per institution and is built once for the whole project. Its stable-attribute simplification: a small number of institutions changed sector or classification during the panel period, and schools.csv records the most recent value with the year in latest_year. This is documented, not detected case-by-case.</w:t>
      </w:r>
    </w:p>
    <w:p>
      <w:pPr>
        <w:pStyle w:val="Heading1"/>
        <w:spacing w:after="140" w:before="240"/>
      </w:pPr>
      <w:r>
        <w:rPr>
          <w:rFonts w:ascii="Arial" w:cs="Arial" w:eastAsia="Arial" w:hAnsi="Arial"/>
          <w:b/>
          <w:bCs/>
        </w:rPr>
        <w:t xml:space="preserve">Scoping with the U.S. News classification</w:t>
      </w:r>
    </w:p>
    <w:p>
      <w:pPr>
        <w:spacing w:after="160"/>
      </w:pPr>
      <w:r>
        <w:rPr>
          <w:rFonts w:ascii="Arial" w:cs="Arial" w:eastAsia="Arial" w:hAnsi="Arial"/>
          <w:b w:val="false"/>
          <w:bCs w:val="false"/>
          <w:i w:val="false"/>
          <w:iCs w:val="false"/>
          <w:color w:val="000000"/>
          <w:sz w:val="22"/>
          <w:szCs w:val="22"/>
        </w:rPr>
        <w:t xml:space="preserve">Each institution carries a classification field pulled from the Academic Insights /schools endpoint, enumerated by state, and joined on IPEDS UnitID. The schools.csv flag in_ranked_universe is TRUE for every institution classified as a National University, a National Liberal Arts College, or a Regional University (any of four regions) - about 1,235 institutions. Holy Cross is a National Liberal Arts College.</w:t>
      </w:r>
    </w:p>
    <w:p>
      <w:pPr>
        <w:spacing w:after="160"/>
      </w:pPr>
      <w:r>
        <w:rPr>
          <w:rFonts w:ascii="Arial" w:cs="Arial" w:eastAsia="Arial" w:hAnsi="Arial"/>
          <w:b w:val="false"/>
          <w:bCs w:val="false"/>
          <w:i w:val="false"/>
          <w:iCs w:val="false"/>
          <w:color w:val="000000"/>
          <w:sz w:val="22"/>
          <w:szCs w:val="22"/>
        </w:rPr>
        <w:t xml:space="preserve">This is a flag, not a filter. The roughly 1,360 institutions outside the ranked universe - regional colleges, specialty institutions, non-respondents - remain in the panel; they are simply marked. The application applies the flag when it needs the Holy Cross comparison set.</w:t>
      </w:r>
    </w:p>
    <w:p>
      <w:pPr>
        <w:spacing w:after="160"/>
      </w:pPr>
      <w:r>
        <w:rPr>
          <w:rFonts w:ascii="Arial" w:cs="Arial" w:eastAsia="Arial" w:hAnsi="Arial"/>
          <w:b w:val="false"/>
          <w:bCs w:val="false"/>
          <w:i w:val="false"/>
          <w:iCs w:val="false"/>
          <w:color w:val="000000"/>
          <w:sz w:val="22"/>
          <w:szCs w:val="22"/>
        </w:rPr>
        <w:t xml:space="preserve">Two honest caveats. First, classification comes from Academic Insights, which only covers U.S. News survey respondents, so an institution can lack a classification because it did not respond rather than because it is unranked. Second, the classification pulled is current and is applied uniformly to all five panel years; for a Holy-Cross-centered tool this is immaterial - Holy Cross has been a National Liberal Arts College throughout - but it is a documented simplification.</w:t>
      </w:r>
    </w:p>
    <w:p>
      <w:pPr>
        <w:pStyle w:val="Heading1"/>
        <w:spacing w:after="140" w:before="240"/>
      </w:pPr>
      <w:r>
        <w:rPr>
          <w:rFonts w:ascii="Arial" w:cs="Arial" w:eastAsia="Arial" w:hAnsi="Arial"/>
          <w:b/>
          <w:bCs/>
        </w:rPr>
        <w:t xml:space="preserve">Data retrieval</w:t>
      </w:r>
    </w:p>
    <w:p>
      <w:pPr>
        <w:spacing w:after="160"/>
      </w:pPr>
      <w:r>
        <w:rPr>
          <w:rFonts w:ascii="Arial" w:cs="Arial" w:eastAsia="Arial" w:hAnsi="Arial"/>
          <w:b w:val="false"/>
          <w:bCs w:val="false"/>
          <w:i w:val="false"/>
          <w:iCs w:val="false"/>
          <w:color w:val="000000"/>
          <w:sz w:val="22"/>
          <w:szCs w:val="22"/>
        </w:rPr>
        <w:t xml:space="preserve">IPEDS data is retrieved with the ipeds package’s load_ipeds() function, which downloads an entire collection and is independent of the package’s frozen survey registry. A year offset applies: load_ipeds(Y+1) returns the collection-year-Y tables. Several survey tables were reorganized over the five years - the financial-aid and cost tables in particular - and the companion crosswalk records the correct table for each year. A small wrinkle is handled in code: some older collections deliver column names with dots where newer ones use underscores, which the pipeline normalizes.</w:t>
      </w:r>
    </w:p>
    <w:p>
      <w:pPr>
        <w:spacing w:after="160"/>
      </w:pPr>
      <w:r>
        <w:rPr>
          <w:rFonts w:ascii="Arial" w:cs="Arial" w:eastAsia="Arial" w:hAnsi="Arial"/>
          <w:b w:val="false"/>
          <w:bCs w:val="false"/>
          <w:i w:val="false"/>
          <w:iCs w:val="false"/>
          <w:color w:val="000000"/>
          <w:sz w:val="22"/>
          <w:szCs w:val="22"/>
        </w:rPr>
        <w:t xml:space="preserve">The two Academic Insights metrics are pulled one metric per year to stay below the API’s response-size cap, and the request helper throttles its call rate and retries on rate-limit responses. The API key is read from an environment variable and never stored in the script.</w:t>
      </w:r>
    </w:p>
    <w:p>
      <w:pPr>
        <w:pStyle w:val="Heading1"/>
        <w:spacing w:after="140" w:before="240"/>
      </w:pPr>
      <w:r>
        <w:rPr>
          <w:rFonts w:ascii="Arial" w:cs="Arial" w:eastAsia="Arial" w:hAnsi="Arial"/>
          <w:b/>
          <w:bCs/>
        </w:rPr>
        <w:t xml:space="preserve">Academic Insights year-offset translation</w:t>
      </w:r>
    </w:p>
    <w:p>
      <w:pPr>
        <w:spacing w:after="160"/>
      </w:pPr>
      <w:r>
        <w:rPr>
          <w:rFonts w:ascii="Arial" w:cs="Arial" w:eastAsia="Arial" w:hAnsi="Arial"/>
          <w:b w:val="false"/>
          <w:bCs w:val="false"/>
          <w:i w:val="false"/>
          <w:iCs w:val="false"/>
          <w:color w:val="000000"/>
          <w:sz w:val="22"/>
          <w:szCs w:val="22"/>
        </w:rPr>
        <w:t xml:space="preserve">During the project we discovered that Academic Insights labels its data with a 2-year lead over IPEDS table-name years. The two systems use different year conventions: IPEDS uses fall-year (HD2024 = the 2024-25 academic year), while Academic Insights uses spring-year (AI year 2026 = the 2025-26 academic year). Additionally, AI publishes data with a 2-year lead, so AI year Y refers to the same academic year as IPEDS year Y - 2.</w:t>
      </w:r>
    </w:p>
    <w:p>
      <w:pPr>
        <w:spacing w:after="160"/>
      </w:pPr>
      <w:r>
        <w:rPr>
          <w:rFonts w:ascii="Arial" w:cs="Arial" w:eastAsia="Arial" w:hAnsi="Arial"/>
          <w:b w:val="false"/>
          <w:bCs w:val="false"/>
          <w:i w:val="false"/>
          <w:iCs w:val="false"/>
          <w:color w:val="000000"/>
          <w:sz w:val="22"/>
          <w:szCs w:val="22"/>
        </w:rPr>
        <w:t xml:space="preserve">This was verified empirically on Holy Cross applicant counts: across five years of data, AI year 2022 = 7,087 matched IPEDS year 2020 = 7,087 exactly, and every subsequent year pair matched to the unit. The +2 offset is confirmed.</w:t>
      </w:r>
    </w:p>
    <w:p>
      <w:pPr>
        <w:spacing w:after="160"/>
      </w:pPr>
      <w:r>
        <w:rPr>
          <w:rFonts w:ascii="Arial" w:cs="Arial" w:eastAsia="Arial" w:hAnsi="Arial"/>
          <w:b w:val="false"/>
          <w:bCs w:val="false"/>
          <w:i w:val="false"/>
          <w:iCs w:val="false"/>
          <w:color w:val="000000"/>
          <w:sz w:val="22"/>
          <w:szCs w:val="22"/>
        </w:rPr>
        <w:t xml:space="preserve">For this module’s Academic Insights metrics (pct_need_met (metric 374) and pct_need_fully_met (metric 366)), the pipeline translates years on the way in. These two CDS metrics are pulled one (metric, AI year) pair at a time, with AI year = ipeds_to_ai_year(ipeds_year). Returned rows are tagged with our IPEDS-naming year before being written to facts.</w:t>
      </w:r>
    </w:p>
    <w:p>
      <w:pPr>
        <w:spacing w:after="160"/>
      </w:pPr>
      <w:r>
        <w:rPr>
          <w:rFonts w:ascii="Arial" w:cs="Arial" w:eastAsia="Arial" w:hAnsi="Arial"/>
          <w:b w:val="false"/>
          <w:bCs w:val="false"/>
          <w:i w:val="false"/>
          <w:iCs w:val="false"/>
          <w:color w:val="000000"/>
          <w:sz w:val="22"/>
          <w:szCs w:val="22"/>
        </w:rPr>
        <w:t xml:space="preserve">Helper functions in schools_pipeline.R: ipeds_to_ai_year(y) returns y + 2L; ai_to_ipeds_year(y) returns y - 2L. The pipeline’s log lines show both year framings (e.g., “metric 374 / AI 2026 (IPEDS 2024): 1182 rows”) so the mapping is verifiable at runtime.</w:t>
      </w:r>
    </w:p>
    <w:p>
      <w:pPr>
        <w:pStyle w:val="Heading1"/>
        <w:spacing w:after="140" w:before="240"/>
      </w:pPr>
      <w:r>
        <w:rPr>
          <w:rFonts w:ascii="Arial" w:cs="Arial" w:eastAsia="Arial" w:hAnsi="Arial"/>
          <w:b/>
          <w:bCs/>
        </w:rPr>
        <w:t xml:space="preserve">NECHE dashboard tagging</w:t>
      </w:r>
    </w:p>
    <w:p>
      <w:pPr>
        <w:spacing w:after="160"/>
      </w:pPr>
      <w:r>
        <w:rPr>
          <w:rFonts w:ascii="Arial" w:cs="Arial" w:eastAsia="Arial" w:hAnsi="Arial"/>
          <w:b w:val="false"/>
          <w:bCs w:val="false"/>
          <w:i w:val="false"/>
          <w:iCs w:val="false"/>
          <w:color w:val="000000"/>
          <w:sz w:val="22"/>
          <w:szCs w:val="22"/>
        </w:rPr>
        <w:t xml:space="preserve">A new column neche_dashboard has been added to the variables file alongside the existing neche_peer_set flag. The two flags answer different questions:</w:t>
      </w:r>
    </w:p>
    <w:p>
      <w:pPr>
        <w:pStyle w:val="ListParagraph"/>
        <w:numPr>
          <w:ilvl w:val="0"/>
          <w:numId w:val="1"/>
        </w:numPr>
        <w:spacing w:after="80"/>
      </w:pPr>
      <w:r>
        <w:rPr>
          <w:rFonts w:ascii="Arial" w:cs="Arial" w:eastAsia="Arial" w:hAnsi="Arial"/>
          <w:sz w:val="22"/>
          <w:szCs w:val="22"/>
        </w:rPr>
        <w:t xml:space="preserve">neche_peer_set marks variables used in NECHE’s peer-grouping algorithm for accreditation review. The full set across all modules totals seven variables.</w:t>
      </w:r>
    </w:p>
    <w:p>
      <w:pPr>
        <w:pStyle w:val="ListParagraph"/>
        <w:numPr>
          <w:ilvl w:val="0"/>
          <w:numId w:val="1"/>
        </w:numPr>
        <w:spacing w:after="80"/>
      </w:pPr>
      <w:r>
        <w:rPr>
          <w:rFonts w:ascii="Arial" w:cs="Arial" w:eastAsia="Arial" w:hAnsi="Arial"/>
          <w:sz w:val="22"/>
          <w:szCs w:val="22"/>
        </w:rPr>
        <w:t xml:space="preserve">neche_dashboard marks variables that draw from the same source data as a metric appearing on NECHE’s institutional dashboards. The interpretation is broad: a variable is flagged TRUE if it uses the same underlying IPEDS source data as a NECHE dashboard metric, even if our presentation differs (e.g., we may compute a percentage where NECHE shows raw counts).</w:t>
      </w:r>
    </w:p>
    <w:p>
      <w:pPr>
        <w:spacing w:after="160"/>
      </w:pPr>
      <w:r>
        <w:rPr>
          <w:rFonts w:ascii="Arial" w:cs="Arial" w:eastAsia="Arial" w:hAnsi="Arial"/>
          <w:b w:val="false"/>
          <w:bCs w:val="false"/>
          <w:i w:val="false"/>
          <w:iCs w:val="false"/>
          <w:color w:val="000000"/>
          <w:sz w:val="22"/>
          <w:szCs w:val="22"/>
        </w:rPr>
        <w:t xml:space="preserve">In this module, 2 variables are flagged neche_dashboard = TRUE: pct_pell and pell_count. Both reflect Pell-grant participation, which appears on NECHE’s Student Financial Aid dashboard.</w:t>
      </w:r>
    </w:p>
    <w:p>
      <w:pPr>
        <w:spacing w:after="160"/>
      </w:pPr>
      <w:r>
        <w:rPr>
          <w:rFonts w:ascii="Arial" w:cs="Arial" w:eastAsia="Arial" w:hAnsi="Arial"/>
          <w:b w:val="false"/>
          <w:bCs w:val="false"/>
          <w:i w:val="false"/>
          <w:iCs w:val="false"/>
          <w:color w:val="000000"/>
          <w:sz w:val="22"/>
          <w:szCs w:val="22"/>
        </w:rPr>
        <w:t xml:space="preserve">The flag is intentionally permissive: it identifies variables that participate in NECHE’s dashboard ecosystem at the source-data level, rather than requiring exact construct match. Downstream applications wanting a strict NECHE dashboard replication should treat the flag as a starting point and check construct-level alignment for each flagged variable.</w:t>
      </w:r>
    </w:p>
    <w:p>
      <w:pPr>
        <w:pStyle w:val="Heading1"/>
        <w:spacing w:after="140" w:before="240"/>
      </w:pPr>
      <w:r>
        <w:rPr>
          <w:rFonts w:ascii="Arial" w:cs="Arial" w:eastAsia="Arial" w:hAnsi="Arial"/>
          <w:b/>
          <w:bCs/>
        </w:rPr>
        <w:t xml:space="preserve">Known limitations</w:t>
      </w:r>
    </w:p>
    <w:p>
      <w:pPr>
        <w:pStyle w:val="ListParagraph"/>
        <w:numPr>
          <w:ilvl w:val="0"/>
          <w:numId w:val="1"/>
        </w:numPr>
        <w:spacing w:after="80"/>
      </w:pPr>
      <w:r>
        <w:rPr>
          <w:rFonts w:ascii="Arial" w:cs="Arial" w:eastAsia="Arial" w:hAnsi="Arial"/>
          <w:sz w:val="22"/>
          <w:szCs w:val="22"/>
        </w:rPr>
        <w:t xml:space="preserve">IPEDS aid variables describe full-time, first-time, degree-seeking undergraduates - the entering cohort, not all undergraduates. About 16% of private not-for-profit institutions enroll no entering cohort and therefore have no IPEDS aid data; this is correct, not missing data.</w:t>
      </w:r>
    </w:p>
    <w:p>
      <w:pPr>
        <w:pStyle w:val="ListParagraph"/>
        <w:numPr>
          <w:ilvl w:val="0"/>
          <w:numId w:val="1"/>
        </w:numPr>
        <w:spacing w:after="80"/>
      </w:pPr>
      <w:r>
        <w:rPr>
          <w:rFonts w:ascii="Arial" w:cs="Arial" w:eastAsia="Arial" w:hAnsi="Arial"/>
          <w:sz w:val="22"/>
          <w:szCs w:val="22"/>
        </w:rPr>
        <w:t xml:space="preserve">The two CDS metrics are populated for roughly 45% of the universe - Academic Insights survey respondents only - and are modestly better covered for public than for private institutions. They are an enrichment layer, not a universe-wide measure.</w:t>
      </w:r>
    </w:p>
    <w:p>
      <w:pPr>
        <w:pStyle w:val="ListParagraph"/>
        <w:numPr>
          <w:ilvl w:val="0"/>
          <w:numId w:val="1"/>
        </w:numPr>
        <w:spacing w:after="80"/>
      </w:pPr>
      <w:r>
        <w:rPr>
          <w:rFonts w:ascii="Arial" w:cs="Arial" w:eastAsia="Arial" w:hAnsi="Arial"/>
          <w:sz w:val="22"/>
          <w:szCs w:val="22"/>
        </w:rPr>
        <w:t xml:space="preserve">The institutional discount rate uses in-state published tuition for public institutions; the figure would differ markedly against out-of-state tuition.</w:t>
      </w:r>
    </w:p>
    <w:p>
      <w:pPr>
        <w:pStyle w:val="ListParagraph"/>
        <w:numPr>
          <w:ilvl w:val="0"/>
          <w:numId w:val="1"/>
        </w:numPr>
        <w:spacing w:after="80"/>
      </w:pPr>
      <w:r>
        <w:rPr>
          <w:rFonts w:ascii="Arial" w:cs="Arial" w:eastAsia="Arial" w:hAnsi="Arial"/>
          <w:sz w:val="22"/>
          <w:szCs w:val="22"/>
        </w:rPr>
        <w:t xml:space="preserve">Scoping to the U.S. News classification means the comparison universe depends in part on a U.S. News editorial decision rather than purely on IPEDS, and may shift slightly as U.S. News reclassifies institutions.</w:t>
      </w:r>
    </w:p>
    <w:p>
      <w:pPr>
        <w:pStyle w:val="ListParagraph"/>
        <w:numPr>
          <w:ilvl w:val="0"/>
          <w:numId w:val="1"/>
        </w:numPr>
        <w:spacing w:after="80"/>
      </w:pPr>
      <w:r>
        <w:rPr>
          <w:rFonts w:ascii="Arial" w:cs="Arial" w:eastAsia="Arial" w:hAnsi="Arial"/>
          <w:sz w:val="22"/>
          <w:szCs w:val="22"/>
        </w:rPr>
        <w:t xml:space="preserve">The most recent IPEDS collection is provisional and values may change when finalized.</w:t>
      </w:r>
    </w:p>
    <w:p>
      <w:pPr>
        <w:pStyle w:val="Heading1"/>
        <w:spacing w:after="140" w:before="240"/>
      </w:pPr>
      <w:r>
        <w:rPr>
          <w:rFonts w:ascii="Arial" w:cs="Arial" w:eastAsia="Arial" w:hAnsi="Arial"/>
          <w:b/>
          <w:bCs/>
        </w:rPr>
        <w:t xml:space="preserve">How to run</w:t>
      </w:r>
    </w:p>
    <w:p>
      <w:pPr>
        <w:pStyle w:val="ListParagraph"/>
        <w:numPr>
          <w:ilvl w:val="0"/>
          <w:numId w:val="1"/>
        </w:numPr>
        <w:spacing w:after="80"/>
      </w:pPr>
      <w:r>
        <w:rPr>
          <w:rFonts w:ascii="Arial" w:cs="Arial" w:eastAsia="Arial" w:hAnsi="Arial"/>
          <w:sz w:val="22"/>
          <w:szCs w:val="22"/>
        </w:rPr>
        <w:t xml:space="preserve">Set the API key once: add ACADEMIC_INSIGHTS_API_KEY to your ~/.Renviron file.</w:t>
      </w:r>
    </w:p>
    <w:p>
      <w:pPr>
        <w:pStyle w:val="ListParagraph"/>
        <w:numPr>
          <w:ilvl w:val="0"/>
          <w:numId w:val="1"/>
        </w:numPr>
        <w:spacing w:after="80"/>
      </w:pPr>
      <w:r>
        <w:rPr>
          <w:rFonts w:ascii="Arial" w:cs="Arial" w:eastAsia="Arial" w:hAnsi="Arial"/>
          <w:sz w:val="22"/>
          <w:szCs w:val="22"/>
        </w:rPr>
        <w:t xml:space="preserve">Build schools.csv first: source("schools_pipeline.R"); build_schools(). This runs the HD pulls and the classification pull and writes schools.csv.</w:t>
      </w:r>
    </w:p>
    <w:p>
      <w:pPr>
        <w:pStyle w:val="ListParagraph"/>
        <w:numPr>
          <w:ilvl w:val="0"/>
          <w:numId w:val="1"/>
        </w:numPr>
        <w:spacing w:after="80"/>
      </w:pPr>
      <w:r>
        <w:rPr>
          <w:rFonts w:ascii="Arial" w:cs="Arial" w:eastAsia="Arial" w:hAnsi="Arial"/>
          <w:sz w:val="22"/>
          <w:szCs w:val="22"/>
        </w:rPr>
        <w:t xml:space="preserve">Run the aid module: source("aid_module_pipeline.R"); res &lt;- run_aid_module(). Outputs are aid_facts.csv and aid_variables.csv, joined to schools.csv on unitid.</w:t>
      </w:r>
    </w:p>
    <w:p>
      <w:pPr>
        <w:pStyle w:val="ListParagraph"/>
        <w:numPr>
          <w:ilvl w:val="0"/>
          <w:numId w:val="1"/>
        </w:numPr>
        <w:spacing w:after="80"/>
      </w:pPr>
      <w:r>
        <w:rPr>
          <w:rFonts w:ascii="Arial" w:cs="Arial" w:eastAsia="Arial" w:hAnsi="Arial"/>
          <w:sz w:val="22"/>
          <w:szCs w:val="22"/>
        </w:rPr>
        <w:t xml:space="preserve">Define the Holy Cross comparison set at the analysis layer by filtering schools.csv on in_ranked_universe, or on usnews_classification == "national-liberal-arts-colleges" for the tightest peer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2026-05-20T15:16:35.830Z</dcterms:created>
  <dcterms:modified xsi:type="dcterms:W3CDTF">2026-05-20T15:16:35.844Z</dcterms:modified>
</cp:coreProperties>
</file>

<file path=docProps/custom.xml><?xml version="1.0" encoding="utf-8"?>
<Properties xmlns="http://schemas.openxmlformats.org/officeDocument/2006/custom-properties" xmlns:vt="http://schemas.openxmlformats.org/officeDocument/2006/docPropsVTypes"/>
</file>