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8"/>
          <w:sz w:val="36"/>
          <w:szCs w:val="36"/>
        </w:rPr>
        <w:t xml:space="preserve">Outcomes Module - Methodology</w:t>
      </w:r>
    </w:p>
    <w:p>
      <w:pPr>
        <w:spacing w:after="260"/>
      </w:pPr>
      <w:r>
        <w:rPr>
          <w:rFonts w:ascii="Arial" w:cs="Arial" w:eastAsia="Arial" w:hAnsi="Arial"/>
          <w:i/>
          <w:iCs/>
          <w:color w:val="595959"/>
          <w:sz w:val="22"/>
          <w:szCs w:val="22"/>
        </w:rPr>
        <w:t xml:space="preserve">Two-table data architecture - Peer-comparison data layer - College of the Holy Cross</w:t>
      </w:r>
    </w:p>
    <w:p>
      <w:pPr>
        <w:pStyle w:val="Heading1"/>
        <w:spacing w:after="140" w:before="240"/>
      </w:pPr>
      <w:r>
        <w:rPr>
          <w:rFonts w:ascii="Arial" w:cs="Arial" w:eastAsia="Arial" w:hAnsi="Arial"/>
          <w:b/>
          <w:bCs/>
        </w:rPr>
        <w:t xml:space="preserve">Purpose &amp; scope</w:t>
      </w:r>
    </w:p>
    <w:p>
      <w:pPr>
        <w:spacing w:after="160"/>
      </w:pPr>
      <w:r>
        <w:rPr>
          <w:rFonts w:ascii="Arial" w:cs="Arial" w:eastAsia="Arial" w:hAnsi="Arial"/>
          <w:b w:val="false"/>
          <w:bCs w:val="false"/>
          <w:i w:val="false"/>
          <w:iCs w:val="false"/>
          <w:sz w:val="22"/>
          <w:szCs w:val="22"/>
        </w:rPr>
        <w:t xml:space="preserve">This module assembles a panel of institutional outcomes - what happens to students who enroll. It is the fourth of five planned modules in the peer-comparison data layer. Twelve metrics characterize graduation rates, retention, equity gaps in completion, post-attendance earnings and loan repayment, and one Carnegie SAEC composite measuring earnings vs. demographic expectation.</w:t>
      </w:r>
    </w:p>
    <w:p>
      <w:pPr>
        <w:spacing w:after="160"/>
      </w:pPr>
      <w:r>
        <w:rPr>
          <w:rFonts w:ascii="Arial" w:cs="Arial" w:eastAsia="Arial" w:hAnsi="Arial"/>
          <w:b w:val="false"/>
          <w:bCs w:val="false"/>
          <w:i w:val="false"/>
          <w:iCs w:val="false"/>
          <w:sz w:val="22"/>
          <w:szCs w:val="22"/>
        </w:rPr>
        <w:t xml:space="preserve">Scope is data acquisition only. The module does not score or rank institutions; weighting and comparison are the job of the downstream application.</w:t>
      </w:r>
    </w:p>
    <w:p>
      <w:pPr>
        <w:pStyle w:val="Heading1"/>
        <w:spacing w:after="140" w:before="240"/>
      </w:pPr>
      <w:r>
        <w:rPr>
          <w:rFonts w:ascii="Arial" w:cs="Arial" w:eastAsia="Arial" w:hAnsi="Arial"/>
          <w:b/>
          <w:bCs/>
        </w:rPr>
        <w:t xml:space="preserve">Four data sources in one module</w:t>
      </w:r>
    </w:p>
    <w:p>
      <w:pPr>
        <w:spacing w:after="160"/>
      </w:pPr>
      <w:r>
        <w:rPr>
          <w:rFonts w:ascii="Arial" w:cs="Arial" w:eastAsia="Arial" w:hAnsi="Arial"/>
          <w:b w:val="false"/>
          <w:bCs w:val="false"/>
          <w:i w:val="false"/>
          <w:iCs w:val="false"/>
          <w:sz w:val="22"/>
          <w:szCs w:val="22"/>
        </w:rPr>
        <w:t xml:space="preserve">Outcomes is the only module that integrates four data sources. IPEDS supplies graduation, retention, completions, and the Pell equity gap from the Outcome Measures survey. The College Scorecard API supplies earnings and loan repayment. Academic Insights supplies the first-generation graduation rate. The Carnegie 2025 Public Data File supplies the SAEC earnings ratio, joined via schools.csv. The pipeline keeps these as four separate build functions whose tidy outputs are combined at the end.</w:t>
      </w:r>
    </w:p>
    <w:p>
      <w:pPr>
        <w:pStyle w:val="Heading1"/>
        <w:spacing w:after="140" w:before="240"/>
      </w:pPr>
      <w:r>
        <w:rPr>
          <w:rFonts w:ascii="Arial" w:cs="Arial" w:eastAsia="Arial" w:hAnsi="Arial"/>
          <w:b/>
          <w:bCs/>
        </w:rPr>
        <w:t xml:space="preserve">Data architecture</w:t>
      </w:r>
    </w:p>
    <w:p>
      <w:pPr>
        <w:spacing w:after="160"/>
      </w:pPr>
      <w:r>
        <w:rPr>
          <w:rFonts w:ascii="Arial" w:cs="Arial" w:eastAsia="Arial" w:hAnsi="Arial"/>
          <w:b w:val="false"/>
          <w:bCs w:val="false"/>
          <w:i w:val="false"/>
          <w:iCs w:val="false"/>
          <w:sz w:val="22"/>
          <w:szCs w:val="22"/>
        </w:rPr>
        <w:t xml:space="preserve">Same two-table shape as every module. The shared schools.csv provides institutional attributes (joined on unitid); the module writes its own facts and variables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7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output/out_facts.csv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institution x year x metric. Columns: unitid, year, metric, value, var_type (raw / computed / external).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output/out_variables.csv</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metric (12 rows). Metric metadata including use_type, comparison_scope, and neche_peer_set tags.</w:t>
            </w:r>
          </w:p>
        </w:tc>
      </w:tr>
    </w:tbl>
    <w:p>
      <w:pPr>
        <w:spacing w:after="120"/>
      </w:pPr>
      <w:r>
        <w:t xml:space="preserve"/>
      </w:r>
    </w:p>
    <w:p>
      <w:pPr>
        <w:pStyle w:val="Heading1"/>
        <w:spacing w:after="140" w:before="240"/>
      </w:pPr>
      <w:r>
        <w:rPr>
          <w:rFonts w:ascii="Arial" w:cs="Arial" w:eastAsia="Arial" w:hAnsi="Arial"/>
          <w:b/>
          <w:bCs/>
        </w:rPr>
        <w:t xml:space="preserve">The twelve outcomes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w:tc>
          <w:tcPr>
            <w:tcW w:type="dxa" w:w="6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Source &amp; use</w:t>
            </w:r>
          </w:p>
        </w:tc>
        <w:tc>
          <w:tcPr>
            <w:tcW w:type="dxa" w:w="33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grad_rate_6yr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DRVGR - clustering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Bachelor's within 6 years.</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grad_rate_4yr</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DRVGR - clustering</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Bachelor's within 4 years.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retention_rate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EF{yr}D - clustering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Full-time first-year retention.</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transfer_out_rate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DRVGR - clustering</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entering cohort.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pell_grad_gap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(DRVOM) - clustering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Pell minus non-Pell 6-yr award rate. Equity measure.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grad_rate_men_vs_women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(DRVGR) - EXPLORATORY</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Women minus men 6-yr grad rate.</w:t>
            </w:r>
          </w:p>
        </w:tc>
      </w:tr>
      <w:tr>
        <w:tc>
          <w:tcPr>
            <w:tcW w:type="dxa" w:w="6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0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doctoral_degrees_awarded</w:t>
            </w:r>
          </w:p>
        </w:tc>
        <w:tc>
          <w:tcPr>
            <w:tcW w:type="dxa" w:w="24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DRVC - DESCRIPTIVE - NECHE</w:t>
            </w:r>
          </w:p>
        </w:tc>
        <w:tc>
          <w:tcPr>
            <w:tcW w:type="dxa" w:w="3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doctorates only (DOCDEGRS); excludes professional practice.</w:t>
            </w:r>
          </w:p>
        </w:tc>
      </w:tr>
      <w:tr>
        <w:tc>
          <w:tcPr>
            <w:tcW w:type="dxa" w:w="6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0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median_earnings_10yr</w:t>
            </w:r>
          </w:p>
        </w:tc>
        <w:tc>
          <w:tcPr>
            <w:tcW w:type="dxa" w:w="24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Scorecard - clustering</w:t>
            </w:r>
          </w:p>
        </w:tc>
        <w:tc>
          <w:tcPr>
            <w:tcW w:type="dxa" w:w="336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 cohort available; long observational lag.</w:t>
            </w:r>
          </w:p>
        </w:tc>
      </w:tr>
      <w:tr>
        <w:tc>
          <w:tcPr>
            <w:tcW w:type="dxa" w:w="6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0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median_earnings_6yr</w:t>
            </w:r>
          </w:p>
        </w:tc>
        <w:tc>
          <w:tcPr>
            <w:tcW w:type="dxa" w:w="24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Scorecard - clustering</w:t>
            </w:r>
          </w:p>
        </w:tc>
        <w:tc>
          <w:tcPr>
            <w:tcW w:type="dxa" w:w="336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 cohort available.</w:t>
            </w:r>
          </w:p>
        </w:tc>
      </w:tr>
      <w:tr>
        <w:tc>
          <w:tcPr>
            <w:tcW w:type="dxa" w:w="6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0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loan_repayment_rate</w:t>
            </w:r>
          </w:p>
        </w:tc>
        <w:tc>
          <w:tcPr>
            <w:tcW w:type="dxa" w:w="240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Scorecard - clustering</w:t>
            </w:r>
          </w:p>
        </w:tc>
        <w:tc>
          <w:tcPr>
            <w:tcW w:type="dxa" w:w="3360"/>
            <w:tcBorders>
              <w:top w:val="single" w:color="BFBFBF" w:sz="4"/>
              <w:left w:val="single" w:color="BFBFBF" w:sz="4"/>
              <w:bottom w:val="single" w:color="BFBFBF" w:sz="4"/>
              <w:right w:val="single" w:color="BFBFBF" w:sz="4"/>
            </w:tcBorders>
            <w:shd w:fill="DEEBF7"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3-year repayment, completers.</w:t>
            </w:r>
          </w:p>
        </w:tc>
      </w:tr>
      <w:tr>
        <w:tc>
          <w:tcPr>
            <w:tcW w:type="dxa" w:w="6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first_gen_grad_rate_6yr</w:t>
            </w:r>
          </w:p>
        </w:tc>
        <w:tc>
          <w:tcPr>
            <w:tcW w:type="dxa" w:w="24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Academic Insights - clustering</w:t>
            </w:r>
          </w:p>
        </w:tc>
        <w:tc>
          <w:tcPr>
            <w:tcW w:type="dxa" w:w="336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as a rate (id 1116), not a gap. ~45% coverage.</w:t>
            </w:r>
          </w:p>
        </w:tc>
      </w:tr>
      <w:tr>
        <w:tc>
          <w:tcPr>
            <w:tcW w:type="dxa" w:w="6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0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earnings_ratio</w:t>
            </w:r>
          </w:p>
        </w:tc>
        <w:tc>
          <w:tcPr>
            <w:tcW w:type="dxa" w:w="24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CCIHE - clustering</w:t>
            </w:r>
          </w:p>
        </w:tc>
        <w:tc>
          <w:tcPr>
            <w:tcW w:type="dxa" w:w="336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 vs expected earnings given demographics. One-time 2025 snapshot.</w:t>
            </w:r>
          </w:p>
        </w:tc>
      </w:tr>
    </w:tbl>
    <w:p>
      <w:pPr>
        <w:spacing w:after="120"/>
      </w:pPr>
      <w:r>
        <w:t xml:space="preserve"/>
      </w:r>
    </w:p>
    <w:p>
      <w:pPr>
        <w:pStyle w:val="Heading1"/>
        <w:spacing w:after="140" w:before="240"/>
      </w:pPr>
      <w:r>
        <w:rPr>
          <w:rFonts w:ascii="Arial" w:cs="Arial" w:eastAsia="Arial" w:hAnsi="Arial"/>
          <w:b/>
          <w:bCs/>
        </w:rPr>
        <w:t xml:space="preserve">IPEDS as the source for grad/retention/completions</w:t>
      </w:r>
    </w:p>
    <w:p>
      <w:pPr>
        <w:spacing w:after="160"/>
      </w:pPr>
      <w:r>
        <w:rPr>
          <w:rFonts w:ascii="Arial" w:cs="Arial" w:eastAsia="Arial" w:hAnsi="Arial"/>
          <w:b w:val="false"/>
          <w:bCs w:val="false"/>
          <w:i w:val="false"/>
          <w:iCs w:val="false"/>
          <w:sz w:val="22"/>
          <w:szCs w:val="22"/>
        </w:rPr>
        <w:t xml:space="preserve">Graduation rates come from DRVGR{year}, which precomputes the 4-year and 6-year bachelor's rates (GBA4RTT, GBA6RTT) and the transfer-out rate (TRRTTOT). No row-level filtering needed - the derived table has done the work. Retention is RET_PCF from the EF{year}D table (full-time first-year retention; the standard headline measure). Doctoral degrees awarded comes from DRVC{year} - specifically DOCDEGRS (research/scholarship doctorates only), which matches NECHE's definition of the peer-set metric and excludes professional-practice doctorates such as MDs and JDs.</w:t>
      </w:r>
    </w:p>
    <w:p>
      <w:pPr>
        <w:pStyle w:val="Heading1"/>
        <w:spacing w:after="140" w:before="240"/>
      </w:pPr>
      <w:r>
        <w:rPr>
          <w:rFonts w:ascii="Arial" w:cs="Arial" w:eastAsia="Arial" w:hAnsi="Arial"/>
          <w:b/>
          <w:bCs/>
        </w:rPr>
        <w:t xml:space="preserve">Pell graduation gap</w:t>
      </w:r>
    </w:p>
    <w:p>
      <w:pPr>
        <w:spacing w:after="160"/>
      </w:pPr>
      <w:r>
        <w:rPr>
          <w:rFonts w:ascii="Arial" w:cs="Arial" w:eastAsia="Arial" w:hAnsi="Arial"/>
          <w:b w:val="false"/>
          <w:bCs w:val="false"/>
          <w:i w:val="false"/>
          <w:iCs w:val="false"/>
          <w:sz w:val="22"/>
          <w:szCs w:val="22"/>
        </w:rPr>
        <w:t xml:space="preserve">The pell_grad_gap variable is computed as DRVOM.OM1PELLAWDP6 - OM1NPELAWDP6: the 6-year award rate of Pell recipients minus the rate of non-Pell recipients, in percentage points. Negative values mean Pell students underperform non-Pell at this institution; positive values mean the reverse. The variable is an equity measure - typically negative across most U.S. institutions, with magnitude indicating the size of the gap. The "1" prefix in the OM variables refers to cohort 1 (full-time first-time), the canonical IPEDS aid-survey cohort. We chose 6-year cohort length to match grad_rate_6yr for interpretability.</w:t>
      </w:r>
    </w:p>
    <w:p>
      <w:pPr>
        <w:pStyle w:val="Heading1"/>
        <w:spacing w:after="140" w:before="240"/>
      </w:pPr>
      <w:r>
        <w:rPr>
          <w:rFonts w:ascii="Arial" w:cs="Arial" w:eastAsia="Arial" w:hAnsi="Arial"/>
          <w:b/>
          <w:bCs/>
        </w:rPr>
        <w:t xml:space="preserve">First-gen graduation rate, stored as a level</w:t>
      </w:r>
    </w:p>
    <w:p>
      <w:pPr>
        <w:spacing w:after="160"/>
      </w:pPr>
      <w:r>
        <w:rPr>
          <w:rFonts w:ascii="Arial" w:cs="Arial" w:eastAsia="Arial" w:hAnsi="Arial"/>
          <w:b w:val="false"/>
          <w:bCs w:val="false"/>
          <w:i w:val="false"/>
          <w:iCs w:val="false"/>
          <w:sz w:val="22"/>
          <w:szCs w:val="22"/>
        </w:rPr>
        <w:t xml:space="preserve">The original design called for a "first-gen vs continuing-gen graduation rate gap." Academic Insights does not expose such a gap directly. The catalog has first-gen graduation rates by cohort length (metric id 1116 for the 6-year rate), but no continuing-gen rate to subtract from. Rather than construct a gap from imperfect inputs - either pairing the first-gen rate against the overall rate, which understates the true gap, or backing out a continuing-gen rate via algebra, which compounds noise from two inputs - the module stores the first-gen rate as a level. Downstream applications construct whatever gap comparison fits their use case (vs. overall grad_rate_6yr, vs. continuing-gen estimated, vs. peer-set median).</w:t>
      </w:r>
    </w:p>
    <w:p>
      <w:pPr>
        <w:spacing w:after="160"/>
      </w:pPr>
      <w:r>
        <w:rPr>
          <w:rFonts w:ascii="Arial" w:cs="Arial" w:eastAsia="Arial" w:hAnsi="Arial"/>
          <w:b w:val="false"/>
          <w:bCs w:val="false"/>
          <w:i w:val="false"/>
          <w:iCs w:val="false"/>
          <w:sz w:val="22"/>
          <w:szCs w:val="22"/>
        </w:rPr>
        <w:t xml:space="preserve">This matches the principle the data layer has used elsewhere: store cleanly-measured components, derive comparisons downstream. The same logic has us storing pct_pell (a level) rather than a pre-computed Pell/non-Pell composite in the aid module. The variable is tagged use_type = clustering with a coverage_note flagging the level-not-gap framing.</w:t>
      </w:r>
    </w:p>
    <w:p>
      <w:pPr>
        <w:pStyle w:val="Heading1"/>
        <w:spacing w:after="140" w:before="240"/>
      </w:pPr>
      <w:r>
        <w:rPr>
          <w:rFonts w:ascii="Arial" w:cs="Arial" w:eastAsia="Arial" w:hAnsi="Arial"/>
          <w:b/>
          <w:bCs/>
        </w:rPr>
        <w:t xml:space="preserve">Scorecard earnings and repayment</w:t>
      </w:r>
    </w:p>
    <w:p>
      <w:pPr>
        <w:spacing w:after="160"/>
      </w:pPr>
      <w:r>
        <w:rPr>
          <w:rFonts w:ascii="Arial" w:cs="Arial" w:eastAsia="Arial" w:hAnsi="Arial"/>
          <w:b w:val="false"/>
          <w:bCs w:val="false"/>
          <w:i w:val="false"/>
          <w:iCs w:val="false"/>
          <w:sz w:val="22"/>
          <w:szCs w:val="22"/>
        </w:rPr>
        <w:t xml:space="preserve">College Scorecard earnings data have substantial observational lag. The "10 years after entry" earnings reported in the latest Scorecard release reflect the working income of ~2012 entrants observed around 2022. Storing these earnings year-versioned across the panel would falsely imply year-over-year measurement. Instead, the pipeline pulls the latest available Scorecard cohort and writes all Scorecard metrics under the latest panel year. The methodology documents that these are point-in-time, not panel - downstream apps should not interpret year-to-year changes in Scorecard metrics as recent shifts.</w:t>
      </w:r>
    </w:p>
    <w:p>
      <w:pPr>
        <w:spacing w:after="160"/>
      </w:pPr>
      <w:r>
        <w:rPr>
          <w:rFonts w:ascii="Arial" w:cs="Arial" w:eastAsia="Arial" w:hAnsi="Arial"/>
          <w:b w:val="false"/>
          <w:bCs w:val="false"/>
          <w:i w:val="false"/>
          <w:iCs w:val="false"/>
          <w:sz w:val="22"/>
          <w:szCs w:val="22"/>
        </w:rPr>
        <w:t xml:space="preserve">The Scorecard pull is filtered to school.degrees_awarded.predominant in range 3..4 (bachelor or higher predominant) and school.ownership in 1,2 (public + private NFP), matching the IPEDS SECTOR 1/2 universe. Matching is by unitid (Scorecard's id field). Schools outside the Scorecard universe yield NA values.</w:t>
      </w:r>
    </w:p>
    <w:p>
      <w:pPr>
        <w:spacing w:after="160"/>
      </w:pPr>
      <w:r>
        <w:rPr>
          <w:rFonts w:ascii="Arial" w:cs="Arial" w:eastAsia="Arial" w:hAnsi="Arial"/>
          <w:b w:val="false"/>
          <w:bCs w:val="false"/>
          <w:i w:val="false"/>
          <w:iCs w:val="false"/>
          <w:sz w:val="22"/>
          <w:szCs w:val="22"/>
        </w:rPr>
        <w:t xml:space="preserve">loan_repayment_rate uses the 3-year repayment rate for completers (latest.repayment.3_yr_repayment.completers). Scorecard exposes several repayment definitions; 3-year completers is the standard reference.</w:t>
      </w:r>
    </w:p>
    <w:p>
      <w:pPr>
        <w:pStyle w:val="Heading1"/>
        <w:spacing w:after="140" w:before="240"/>
      </w:pPr>
      <w:r>
        <w:rPr>
          <w:rFonts w:ascii="Arial" w:cs="Arial" w:eastAsia="Arial" w:hAnsi="Arial"/>
          <w:b/>
          <w:bCs/>
        </w:rPr>
        <w:t xml:space="preserve">Carnegie SAEC earnings_ratio</w:t>
      </w:r>
    </w:p>
    <w:p>
      <w:pPr>
        <w:spacing w:after="160"/>
      </w:pPr>
      <w:r>
        <w:rPr>
          <w:rFonts w:ascii="Arial" w:cs="Arial" w:eastAsia="Arial" w:hAnsi="Arial"/>
          <w:b w:val="false"/>
          <w:bCs w:val="false"/>
          <w:i w:val="false"/>
          <w:iCs w:val="false"/>
          <w:sz w:val="22"/>
          <w:szCs w:val="22"/>
        </w:rPr>
        <w:t xml:space="preserve">The earnings_ratio variable comes from the Carnegie 2025 Public Data File's Student Access and Earnings Classification (SAEC). It is CCIHE's computation of actual earnings divided by expected earnings given the institution's demographic profile. A value of 1.0 means the institution's graduates earn exactly what would be expected for students like theirs; values above 1.0 mean the institution outperforms demographic expectation; below 1.0 means underperforms. Holy Cross's value of approximately 1.98 means its graduates earn nearly twice what would be expected for their demographic profile.</w:t>
      </w:r>
    </w:p>
    <w:p>
      <w:pPr>
        <w:spacing w:after="160"/>
      </w:pPr>
      <w:r>
        <w:rPr>
          <w:rFonts w:ascii="Arial" w:cs="Arial" w:eastAsia="Arial" w:hAnsi="Arial"/>
          <w:b w:val="false"/>
          <w:bCs w:val="false"/>
          <w:i w:val="false"/>
          <w:iCs w:val="false"/>
          <w:sz w:val="22"/>
          <w:szCs w:val="22"/>
        </w:rPr>
        <w:t xml:space="preserve">earnings_ratio is a one-time CCIHE snapshot rather than a panel measure - the methodology was constructed from 2020-2023 data and applied to the 2025 classification. It is joined into schools.csv from the Carnegie file (alongside the other Carnegie classifications) and also written to out_facts.csv under the latest panel year. The intentional duplication lets the variable be both an institutional reference attribute and a tagged outcomes-catalog member.</w:t>
      </w:r>
    </w:p>
    <w:p>
      <w:pPr>
        <w:pStyle w:val="Heading1"/>
        <w:spacing w:after="140" w:before="240"/>
      </w:pPr>
      <w:r>
        <w:rPr>
          <w:rFonts w:ascii="Arial" w:cs="Arial" w:eastAsia="Arial" w:hAnsi="Arial"/>
          <w:b/>
          <w:bCs/>
        </w:rPr>
        <w:t xml:space="preserve">Accreditor as a schools.csv attribute</w:t>
      </w:r>
    </w:p>
    <w:p>
      <w:pPr>
        <w:spacing w:after="160"/>
      </w:pPr>
      <w:r>
        <w:rPr>
          <w:rFonts w:ascii="Arial" w:cs="Arial" w:eastAsia="Arial" w:hAnsi="Arial"/>
          <w:b w:val="false"/>
          <w:bCs w:val="false"/>
          <w:i w:val="false"/>
          <w:iCs w:val="false"/>
          <w:sz w:val="22"/>
          <w:szCs w:val="22"/>
        </w:rPr>
        <w:t xml:space="preserve">The schools_pipeline.R update accompanying this module also pulls each institution's accreditor from the College Scorecard, writing it to schools.csv as an institutional attribute. The accreditor is a filter/scope field for the downstream application (e.g., "show me peers accredited by the same agency"); it is not used as a clustering variable because it largely re-encodes geography and sector. It is not catalogued in out_variables.csv - only attributes that vary over time or measure something belong in module facts.</w:t>
      </w:r>
    </w:p>
    <w:p>
      <w:pPr>
        <w:pStyle w:val="Heading1"/>
        <w:spacing w:after="140" w:before="240"/>
      </w:pPr>
      <w:r>
        <w:rPr>
          <w:rFonts w:ascii="Arial" w:cs="Arial" w:eastAsia="Arial" w:hAnsi="Arial"/>
          <w:b/>
          <w:bCs/>
        </w:rPr>
        <w:t xml:space="preserve">NECHE peer-set complete</w:t>
      </w:r>
    </w:p>
    <w:p>
      <w:pPr>
        <w:spacing w:after="160"/>
      </w:pPr>
      <w:r>
        <w:rPr>
          <w:rFonts w:ascii="Arial" w:cs="Arial" w:eastAsia="Arial" w:hAnsi="Arial"/>
          <w:b w:val="false"/>
          <w:bCs w:val="false"/>
          <w:i w:val="false"/>
          <w:iCs w:val="false"/>
          <w:sz w:val="22"/>
          <w:szCs w:val="22"/>
        </w:rPr>
        <w:t xml:space="preserve">doctoral_degrees_awarded is the seventh and final NECHE peer-set metric. The full set is now distributed across the modules built: four enrollment counts in Enrollment, the Pell count in Aid, the R&amp;D average that will appear in Finance, and now research doctorates in Outcomes. Downstream applications reassemble the NECHE peer set by filtering neche_peer_set = TRUE across all module facts files. (The Finance module remains pending; once built, the NECHE-set will be fully distributed.)</w:t>
      </w:r>
    </w:p>
    <w:p>
      <w:pPr>
        <w:pStyle w:val="Heading1"/>
        <w:spacing w:after="140" w:before="240"/>
      </w:pPr>
      <w:r>
        <w:rPr>
          <w:rFonts w:ascii="Arial" w:cs="Arial" w:eastAsia="Arial" w:hAnsi="Arial"/>
          <w:b/>
          <w:bCs/>
        </w:rPr>
        <w:t xml:space="preserve">Academic Insights year-offset translation</w:t>
      </w:r>
    </w:p>
    <w:p>
      <w:pPr>
        <w:spacing w:after="160"/>
      </w:pPr>
      <w:r>
        <w:rPr>
          <w:rFonts w:ascii="Arial" w:cs="Arial" w:eastAsia="Arial" w:hAnsi="Arial"/>
          <w:b w:val="false"/>
          <w:bCs w:val="false"/>
          <w:i w:val="false"/>
          <w:iCs w:val="false"/>
          <w:color w:val="000000"/>
          <w:sz w:val="22"/>
          <w:szCs w:val="22"/>
        </w:rPr>
        <w:t xml:space="preserve">During the project we discovered that Academic Insights labels its data with a 2-year lead over IPEDS table-name years. The two systems use different year conventions: IPEDS uses fall-year (HD2024 = the 2024-25 academic year), while Academic Insights uses spring-year (AI year 2026 = the 2025-26 academic year). Additionally, AI publishes data with a 2-year lead, so AI year Y refers to the same academic year as IPEDS year Y - 2.</w:t>
      </w:r>
    </w:p>
    <w:p>
      <w:pPr>
        <w:spacing w:after="160"/>
      </w:pPr>
      <w:r>
        <w:rPr>
          <w:rFonts w:ascii="Arial" w:cs="Arial" w:eastAsia="Arial" w:hAnsi="Arial"/>
          <w:b w:val="false"/>
          <w:bCs w:val="false"/>
          <w:i w:val="false"/>
          <w:iCs w:val="false"/>
          <w:color w:val="000000"/>
          <w:sz w:val="22"/>
          <w:szCs w:val="22"/>
        </w:rPr>
        <w:t xml:space="preserve">This was verified empirically on Holy Cross applicant counts: across five years of data, AI year 2022 = 7,087 matched IPEDS year 2020 = 7,087 exactly, and every subsequent year pair matched to the unit. The +2 offset is confirmed.</w:t>
      </w:r>
    </w:p>
    <w:p>
      <w:pPr>
        <w:spacing w:after="160"/>
      </w:pPr>
      <w:r>
        <w:rPr>
          <w:rFonts w:ascii="Arial" w:cs="Arial" w:eastAsia="Arial" w:hAnsi="Arial"/>
          <w:b w:val="false"/>
          <w:bCs w:val="false"/>
          <w:i w:val="false"/>
          <w:iCs w:val="false"/>
          <w:color w:val="000000"/>
          <w:sz w:val="22"/>
          <w:szCs w:val="22"/>
        </w:rPr>
        <w:t xml:space="preserve">For this module’s Academic Insights metrics (first_gen_grad_rate_6yr (metric 1116, cohort-anchored)), the pipeline translates years on the way in. first_gen_grad_rate_6yr uses a different pull pattern: AI returns the metric across all available years in a single response (no year filter), and the pipeline translates each returned row’s year via ai_to_ipeds_year(y) = y - 2L before writing to facts. AI year 2026 in the original response becomes IPEDS year 2024 in our facts. Some returned rows may translate to years outside our panel range (e.g., AI 2025 → IPEDS 2023, AI 2026 → IPEDS 2024); rows outside our collection_years are still written but flagged honestly in the facts coverage report.</w:t>
      </w:r>
    </w:p>
    <w:p>
      <w:pPr>
        <w:spacing w:after="160"/>
      </w:pPr>
      <w:r>
        <w:rPr>
          <w:rFonts w:ascii="Arial" w:cs="Arial" w:eastAsia="Arial" w:hAnsi="Arial"/>
          <w:b w:val="false"/>
          <w:bCs w:val="false"/>
          <w:i w:val="false"/>
          <w:iCs w:val="false"/>
          <w:color w:val="000000"/>
          <w:sz w:val="22"/>
          <w:szCs w:val="22"/>
        </w:rPr>
        <w:t xml:space="preserve">Helper functions in schools_pipeline.R: ipeds_to_ai_year(y) returns y + 2L; ai_to_ipeds_year(y) returns y - 2L. The pipeline’s log lines show both year framings (e.g., “metric 374 / AI 2026 (IPEDS 2024): 1182 rows”) so the mapping is verifiable at runtime.</w:t>
      </w:r>
    </w:p>
    <w:p>
      <w:pPr>
        <w:pStyle w:val="Heading1"/>
        <w:spacing w:after="140" w:before="240"/>
      </w:pPr>
      <w:r>
        <w:rPr>
          <w:rFonts w:ascii="Arial" w:cs="Arial" w:eastAsia="Arial" w:hAnsi="Arial"/>
          <w:b/>
          <w:bCs/>
        </w:rPr>
        <w:t xml:space="preserve">NECHE dashboard tagging</w:t>
      </w:r>
    </w:p>
    <w:p>
      <w:pPr>
        <w:spacing w:after="160"/>
      </w:pPr>
      <w:r>
        <w:rPr>
          <w:rFonts w:ascii="Arial" w:cs="Arial" w:eastAsia="Arial" w:hAnsi="Arial"/>
          <w:b w:val="false"/>
          <w:bCs w:val="false"/>
          <w:i w:val="false"/>
          <w:iCs w:val="false"/>
          <w:color w:val="000000"/>
          <w:sz w:val="22"/>
          <w:szCs w:val="22"/>
        </w:rPr>
        <w:t xml:space="preserve">A new column neche_dashboard has been added to the variables file alongside the existing neche_peer_set flag. The two flags answer different questions:</w:t>
      </w:r>
    </w:p>
    <w:p>
      <w:pPr>
        <w:pStyle w:val="ListParagraph"/>
        <w:numPr>
          <w:ilvl w:val="0"/>
          <w:numId w:val="1"/>
        </w:numPr>
        <w:spacing w:after="80"/>
      </w:pPr>
      <w:r>
        <w:rPr>
          <w:rFonts w:ascii="Arial" w:cs="Arial" w:eastAsia="Arial" w:hAnsi="Arial"/>
          <w:sz w:val="22"/>
          <w:szCs w:val="22"/>
        </w:rPr>
        <w:t xml:space="preserve">neche_peer_set marks variables used in NECHE’s peer-grouping algorithm for accreditation review. The full set across all modules totals seven variables.</w:t>
      </w:r>
    </w:p>
    <w:p>
      <w:pPr>
        <w:pStyle w:val="ListParagraph"/>
        <w:numPr>
          <w:ilvl w:val="0"/>
          <w:numId w:val="1"/>
        </w:numPr>
        <w:spacing w:after="80"/>
      </w:pPr>
      <w:r>
        <w:rPr>
          <w:rFonts w:ascii="Arial" w:cs="Arial" w:eastAsia="Arial" w:hAnsi="Arial"/>
          <w:sz w:val="22"/>
          <w:szCs w:val="22"/>
        </w:rPr>
        <w:t xml:space="preserve">neche_dashboard marks variables that draw from the same source data as a metric appearing on NECHE’s institutional dashboards. The interpretation is broad: a variable is flagged TRUE if it uses the same underlying IPEDS source data as a NECHE dashboard metric, even if our presentation differs (e.g., we may compute a percentage where NECHE shows raw counts).</w:t>
      </w:r>
    </w:p>
    <w:p>
      <w:pPr>
        <w:spacing w:after="160"/>
      </w:pPr>
      <w:r>
        <w:rPr>
          <w:rFonts w:ascii="Arial" w:cs="Arial" w:eastAsia="Arial" w:hAnsi="Arial"/>
          <w:b w:val="false"/>
          <w:bCs w:val="false"/>
          <w:i w:val="false"/>
          <w:iCs w:val="false"/>
          <w:color w:val="000000"/>
          <w:sz w:val="22"/>
          <w:szCs w:val="22"/>
        </w:rPr>
        <w:t xml:space="preserve">In this module, 4 variables are flagged neche_dashboard = TRUE: grad_rate_6yr, retention_rate, pell_grad_gap, and doctoral_degrees_awarded. doctoral_degrees_awarded carries both neche_peer_set = TRUE (it’s the 7th NECHE peer-grouping metric) and neche_dashboard = TRUE (it appears on NECHE’s Programs dashboard as research doctorate completions). The other three are commonly displayed on NECHE’s Undergraduate Success and Student Financial Aid dashboards.</w:t>
      </w:r>
    </w:p>
    <w:p>
      <w:pPr>
        <w:spacing w:after="160"/>
      </w:pPr>
      <w:r>
        <w:rPr>
          <w:rFonts w:ascii="Arial" w:cs="Arial" w:eastAsia="Arial" w:hAnsi="Arial"/>
          <w:b w:val="false"/>
          <w:bCs w:val="false"/>
          <w:i w:val="false"/>
          <w:iCs w:val="false"/>
          <w:color w:val="000000"/>
          <w:sz w:val="22"/>
          <w:szCs w:val="22"/>
        </w:rPr>
        <w:t xml:space="preserve">The flag is intentionally permissive: it identifies variables that participate in NECHE’s dashboard ecosystem at the source-data level, rather than requiring exact construct match. Downstream applications wanting a strict NECHE dashboard replication should treat the flag as a starting point and check construct-level alignment for each flagged variable.</w:t>
      </w:r>
    </w:p>
    <w:p>
      <w:pPr>
        <w:pStyle w:val="Heading1"/>
        <w:spacing w:after="140" w:before="240"/>
      </w:pPr>
      <w:r>
        <w:rPr>
          <w:rFonts w:ascii="Arial" w:cs="Arial" w:eastAsia="Arial" w:hAnsi="Arial"/>
          <w:b/>
          <w:bCs/>
        </w:rPr>
        <w:t xml:space="preserve">Known limitations</w:t>
      </w:r>
    </w:p>
    <w:p>
      <w:pPr>
        <w:pStyle w:val="ListParagraph"/>
        <w:numPr>
          <w:ilvl w:val="0"/>
          <w:numId w:val="1"/>
        </w:numPr>
        <w:spacing w:after="80"/>
      </w:pPr>
      <w:r>
        <w:rPr>
          <w:rFonts w:ascii="Arial" w:cs="Arial" w:eastAsia="Arial" w:hAnsi="Arial"/>
          <w:sz w:val="22"/>
          <w:szCs w:val="22"/>
        </w:rPr>
        <w:t xml:space="preserve">Scorecard earnings and repayment data are point-in-time, not panel. The "latest cohort" framing means values written under year 2024 reflect a cohort that entered college roughly a decade earlier. Year-to-year changes between panel years should not be interpreted as recent shifts.</w:t>
      </w:r>
    </w:p>
    <w:p>
      <w:pPr>
        <w:pStyle w:val="ListParagraph"/>
        <w:numPr>
          <w:ilvl w:val="0"/>
          <w:numId w:val="1"/>
        </w:numPr>
        <w:spacing w:after="80"/>
      </w:pPr>
      <w:r>
        <w:rPr>
          <w:rFonts w:ascii="Arial" w:cs="Arial" w:eastAsia="Arial" w:hAnsi="Arial"/>
          <w:sz w:val="22"/>
          <w:szCs w:val="22"/>
        </w:rPr>
        <w:t xml:space="preserve">first_gen_grad_rate_6yr is a rate, not a gap. The downstream application is responsible for constructing comparisons. Academic Insights coverage is approximately 45 percent.</w:t>
      </w:r>
    </w:p>
    <w:p>
      <w:pPr>
        <w:pStyle w:val="ListParagraph"/>
        <w:numPr>
          <w:ilvl w:val="0"/>
          <w:numId w:val="1"/>
        </w:numPr>
        <w:spacing w:after="80"/>
      </w:pPr>
      <w:r>
        <w:rPr>
          <w:rFonts w:ascii="Arial" w:cs="Arial" w:eastAsia="Arial" w:hAnsi="Arial"/>
          <w:sz w:val="22"/>
          <w:szCs w:val="22"/>
        </w:rPr>
        <w:t xml:space="preserve">First-gen and Pell graduation outcomes are distinct equity dimensions (parents' education vs. financial aid receipt). They correlate but should not be conflated.</w:t>
      </w:r>
    </w:p>
    <w:p>
      <w:pPr>
        <w:pStyle w:val="ListParagraph"/>
        <w:numPr>
          <w:ilvl w:val="0"/>
          <w:numId w:val="1"/>
        </w:numPr>
        <w:spacing w:after="80"/>
      </w:pPr>
      <w:r>
        <w:rPr>
          <w:rFonts w:ascii="Arial" w:cs="Arial" w:eastAsia="Arial" w:hAnsi="Arial"/>
          <w:sz w:val="22"/>
          <w:szCs w:val="22"/>
        </w:rPr>
        <w:t xml:space="preserve">earnings_ratio is a 2025 Carnegie snapshot applied to the latest panel year. Methodology was constructed from 2020-2023 data.</w:t>
      </w:r>
    </w:p>
    <w:p>
      <w:pPr>
        <w:pStyle w:val="ListParagraph"/>
        <w:numPr>
          <w:ilvl w:val="0"/>
          <w:numId w:val="1"/>
        </w:numPr>
        <w:spacing w:after="80"/>
      </w:pPr>
      <w:r>
        <w:rPr>
          <w:rFonts w:ascii="Arial" w:cs="Arial" w:eastAsia="Arial" w:hAnsi="Arial"/>
          <w:sz w:val="22"/>
          <w:szCs w:val="22"/>
        </w:rPr>
        <w:t xml:space="preserve">Schools outside the Scorecard universe (rare for SECTOR 1/2 institutions) yield NA values for earnings and repayment.</w:t>
      </w:r>
    </w:p>
    <w:p>
      <w:pPr>
        <w:pStyle w:val="ListParagraph"/>
        <w:numPr>
          <w:ilvl w:val="0"/>
          <w:numId w:val="1"/>
        </w:numPr>
        <w:spacing w:after="80"/>
      </w:pPr>
      <w:r>
        <w:rPr>
          <w:rFonts w:ascii="Arial" w:cs="Arial" w:eastAsia="Arial" w:hAnsi="Arial"/>
          <w:sz w:val="22"/>
          <w:szCs w:val="22"/>
        </w:rPr>
        <w:t xml:space="preserve">Research doctorate counts (DOCDEGRS) exclude professional doctorates (DOCDEGPP) and "other" doctorates (DOCDEGOT). This is intentional and matches NECHE's definition.</w:t>
      </w:r>
    </w:p>
    <w:p>
      <w:pPr>
        <w:pStyle w:val="Heading1"/>
        <w:spacing w:after="140" w:before="240"/>
      </w:pPr>
      <w:r>
        <w:rPr>
          <w:rFonts w:ascii="Arial" w:cs="Arial" w:eastAsia="Arial" w:hAnsi="Arial"/>
          <w:b/>
          <w:bCs/>
        </w:rPr>
        <w:t xml:space="preserve">How to run</w:t>
      </w:r>
    </w:p>
    <w:p>
      <w:pPr>
        <w:pStyle w:val="ListParagraph"/>
        <w:numPr>
          <w:ilvl w:val="0"/>
          <w:numId w:val="1"/>
        </w:numPr>
        <w:spacing w:after="80"/>
      </w:pPr>
      <w:r>
        <w:rPr>
          <w:rFonts w:ascii="Arial" w:cs="Arial" w:eastAsia="Arial" w:hAnsi="Arial"/>
          <w:sz w:val="22"/>
          <w:szCs w:val="22"/>
        </w:rPr>
        <w:t xml:space="preserve">Set both API keys: copy .Renviron.template to .Renviron and fill in ACADEMIC_INSIGHTS_API_KEY and SCORECARD_API_KEY. Restart R if it was already running.</w:t>
      </w:r>
    </w:p>
    <w:p>
      <w:pPr>
        <w:pStyle w:val="ListParagraph"/>
        <w:numPr>
          <w:ilvl w:val="0"/>
          <w:numId w:val="1"/>
        </w:numPr>
        <w:spacing w:after="80"/>
      </w:pPr>
      <w:r>
        <w:rPr>
          <w:rFonts w:ascii="Arial" w:cs="Arial" w:eastAsia="Arial" w:hAnsi="Arial"/>
          <w:sz w:val="22"/>
          <w:szCs w:val="22"/>
        </w:rPr>
        <w:t xml:space="preserve">Build schools first: source("R/schools_pipeline.R"); build_schools(). The accreditor and earnings_ratio additions are now part of this step.</w:t>
      </w:r>
    </w:p>
    <w:p>
      <w:pPr>
        <w:pStyle w:val="ListParagraph"/>
        <w:numPr>
          <w:ilvl w:val="0"/>
          <w:numId w:val="1"/>
        </w:numPr>
        <w:spacing w:after="80"/>
      </w:pPr>
      <w:r>
        <w:rPr>
          <w:rFonts w:ascii="Arial" w:cs="Arial" w:eastAsia="Arial" w:hAnsi="Arial"/>
          <w:sz w:val="22"/>
          <w:szCs w:val="22"/>
        </w:rPr>
        <w:t xml:space="preserve">Run the module: source("R/outcomes_module_pipeline.R"); res &lt;- run_outcomes_module(). All metric IDs are pre-set; no further confirmation needed. Outputs are output/out_facts.csv and output/out_variables.csv, plus a coverage report by metric and control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2026-05-21T18:49:31.024Z</dcterms:created>
  <dcterms:modified xsi:type="dcterms:W3CDTF">2026-05-21T18:49:31.033Z</dcterms:modified>
</cp:coreProperties>
</file>

<file path=docProps/custom.xml><?xml version="1.0" encoding="utf-8"?>
<Properties xmlns="http://schemas.openxmlformats.org/officeDocument/2006/custom-properties" xmlns:vt="http://schemas.openxmlformats.org/officeDocument/2006/docPropsVTypes"/>
</file>