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8"/>
          <w:sz w:val="36"/>
          <w:szCs w:val="36"/>
        </w:rPr>
        <w:t xml:space="preserve">Financial Aid Module - Methodology</w:t>
      </w:r>
    </w:p>
    <w:p>
      <w:pPr>
        <w:spacing w:after="260"/>
      </w:pPr>
      <w:r>
        <w:rPr>
          <w:rFonts w:ascii="Arial" w:cs="Arial" w:eastAsia="Arial" w:hAnsi="Arial"/>
          <w:i/>
          <w:iCs/>
          <w:color w:val="595959"/>
          <w:sz w:val="22"/>
          <w:szCs w:val="22"/>
        </w:rPr>
        <w:t xml:space="preserve">Two-table data architecture - Peer-comparison data layer - College of the Holy Cross</w:t>
      </w:r>
    </w:p>
    <w:p>
      <w:pPr>
        <w:pStyle w:val="Heading1"/>
        <w:spacing w:after="140" w:before="240"/>
      </w:pPr>
      <w:r>
        <w:rPr>
          <w:rFonts w:ascii="Arial" w:cs="Arial" w:eastAsia="Arial" w:hAnsi="Arial"/>
          <w:b/>
          <w:bCs/>
        </w:rPr>
        <w:t xml:space="preserve">Purpose &amp; scope</w:t>
      </w:r>
    </w:p>
    <w:p>
      <w:pPr>
        <w:spacing w:after="160"/>
      </w:pPr>
      <w:r>
        <w:rPr>
          <w:rFonts w:ascii="Arial" w:cs="Arial" w:eastAsia="Arial" w:hAnsi="Arial"/>
          <w:b w:val="false"/>
          <w:bCs w:val="false"/>
          <w:i w:val="false"/>
          <w:iCs w:val="false"/>
          <w:color w:val="000000"/>
          <w:sz w:val="22"/>
          <w:szCs w:val="22"/>
        </w:rPr>
        <w:t xml:space="preserve">This module assembles a five-year, institution-level financial-aid panel from publicly released IPEDS data and the U.S. News Academic Insights API. It is the first module in a peer-comparison data layer that begins focused on Holy Cross and is designed to generalize so that any institution can later be selected as the basis of a comparison set.</w:t>
      </w:r>
    </w:p>
    <w:p>
      <w:pPr>
        <w:spacing w:after="160"/>
      </w:pPr>
      <w:r>
        <w:rPr>
          <w:rFonts w:ascii="Arial" w:cs="Arial" w:eastAsia="Arial" w:hAnsi="Arial"/>
          <w:b w:val="false"/>
          <w:bCs w:val="false"/>
          <w:i w:val="false"/>
          <w:iCs w:val="false"/>
          <w:color w:val="000000"/>
          <w:sz w:val="22"/>
          <w:szCs w:val="22"/>
        </w:rPr>
        <w:t xml:space="preserve">Scope is limited to data acquisition. The module does not score or rank institutions; weighting and comparison are the job of the downstream application. Keeping the data layer broad and unscored means new metrics and new comparison universes can be added without reworking a scoring formula.</w:t>
      </w:r>
    </w:p>
    <w:p>
      <w:pPr>
        <w:pStyle w:val="Heading1"/>
        <w:spacing w:after="140" w:before="240"/>
      </w:pPr>
      <w:r>
        <w:rPr>
          <w:rFonts w:ascii="Arial" w:cs="Arial" w:eastAsia="Arial" w:hAnsi="Arial"/>
          <w:b/>
          <w:bCs/>
        </w:rPr>
        <w:t xml:space="preserve">Data architecture</w:t>
      </w:r>
    </w:p>
    <w:p>
      <w:pPr>
        <w:spacing w:after="160"/>
      </w:pPr>
      <w:r>
        <w:rPr>
          <w:rFonts w:ascii="Arial" w:cs="Arial" w:eastAsia="Arial" w:hAnsi="Arial"/>
          <w:b w:val="false"/>
          <w:bCs w:val="false"/>
          <w:i w:val="false"/>
          <w:iCs w:val="false"/>
          <w:color w:val="000000"/>
          <w:sz w:val="22"/>
          <w:szCs w:val="22"/>
        </w:rPr>
        <w:t xml:space="preserve">This module follows the project’s two-table design. The same shape will be used by every future module (admissions, outcomes, finance, instructional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tcPr>
          <w:p>
            <w:r>
              <w:rPr>
                <w:rFonts w:ascii="Arial" w:cs="Arial" w:eastAsia="Arial" w:hAnsi="Arial"/>
                <w:b/>
                <w:bCs/>
                <w:color w:val="FFFFFF"/>
                <w:sz w:val="20"/>
                <w:szCs w:val="20"/>
              </w:rPr>
              <w:t xml:space="preserve">Output file</w:t>
            </w:r>
          </w:p>
        </w:tc>
        <w:tc>
          <w:tcPr>
            <w:tcW w:type="dxa" w:w="716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schools.csv (shared)</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row per institution. Stable attributes used by every module: unitid, instnm, sector, control, iclevel, stabbr, control_grp, c21basic, carnegieic, usnews_classification, in_ranked_universe, latest_year. Built once by schools_pipeline.R; this module reads it.</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aid_facts.csv</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row per institution x year x metric. Columns: unitid, year, metric, value, var_type. var_type marks how the value was produced - raw (direct IPEDS field), computed (derived in the pipeline), or external (Academic Insights).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aid_variables.csv</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row per metric (10 rows). Metric metadata - the same shape every future module will use. Columns: metric, category, display_name, source, ipeds_table_or_formula, use_type, comparison_scope, format, neche_peer_set, coverage_note, notes.</w:t>
            </w:r>
          </w:p>
        </w:tc>
      </w:tr>
    </w:tbl>
    <w:p>
      <w:pPr>
        <w:spacing w:after="120"/>
      </w:pPr>
      <w:r>
        <w:t xml:space="preserve"/>
      </w:r>
    </w:p>
    <w:p>
      <w:pPr>
        <w:spacing w:after="160"/>
      </w:pPr>
      <w:r>
        <w:rPr>
          <w:rFonts w:ascii="Arial" w:cs="Arial" w:eastAsia="Arial" w:hAnsi="Arial"/>
          <w:b w:val="false"/>
          <w:bCs w:val="false"/>
          <w:i w:val="false"/>
          <w:iCs w:val="false"/>
          <w:color w:val="000000"/>
          <w:sz w:val="22"/>
          <w:szCs w:val="22"/>
        </w:rPr>
        <w:t xml:space="preserve">There is no wide convenience export. A wide one-row-per-school-year table can be constructed in two lines with tidyr::pivot_wider() from the facts table whenever the application needs it; the facts table is the canonical form.</w:t>
      </w:r>
    </w:p>
    <w:p>
      <w:pPr>
        <w:pStyle w:val="Heading1"/>
        <w:spacing w:after="140" w:before="240"/>
      </w:pPr>
      <w:r>
        <w:rPr>
          <w:rFonts w:ascii="Arial" w:cs="Arial" w:eastAsia="Arial" w:hAnsi="Arial"/>
          <w:b/>
          <w:bCs/>
        </w:rPr>
        <w:t xml:space="preserve">The ten aid metrics</w:t>
      </w:r>
    </w:p>
    <w:p>
      <w:pPr>
        <w:spacing w:after="160"/>
      </w:pPr>
      <w:r>
        <w:rPr>
          <w:rFonts w:ascii="Arial" w:cs="Arial" w:eastAsia="Arial" w:hAnsi="Arial"/>
          <w:b w:val="false"/>
          <w:bCs w:val="false"/>
          <w:i w:val="false"/>
          <w:iCs w:val="false"/>
          <w:color w:val="000000"/>
          <w:sz w:val="22"/>
          <w:szCs w:val="22"/>
        </w:rPr>
        <w:t xml:space="preserve">Financial aid is compared on ten metrics. Eight come from IPEDS, which every Title IV institution must report, giving near-universal coverage. Two come from the Common Data Set via Academic Insights and capture the concept of financial need, which IPEDS does not collect, at the cost of partial coverage. All ten are tagged use_type = clustering and comparison_scope = cross_category in aid_variables.csv.</w:t>
      </w:r>
    </w:p>
    <w:p>
      <w:pPr>
        <w:pStyle w:val="ListParagraph"/>
        <w:numPr>
          <w:ilvl w:val="0"/>
          <w:numId w:val="1"/>
        </w:numPr>
        <w:spacing w:after="80"/>
      </w:pPr>
      <w:r>
        <w:rPr>
          <w:rFonts w:ascii="Arial" w:cs="Arial" w:eastAsia="Arial" w:hAnsi="Arial"/>
          <w:sz w:val="22"/>
          <w:szCs w:val="22"/>
        </w:rPr>
        <w:t xml:space="preserve">Average net price - all aided students, and at the lowest income band ($0-30k).</w:t>
      </w:r>
    </w:p>
    <w:p>
      <w:pPr>
        <w:pStyle w:val="ListParagraph"/>
        <w:numPr>
          <w:ilvl w:val="0"/>
          <w:numId w:val="1"/>
        </w:numPr>
        <w:spacing w:after="80"/>
      </w:pPr>
      <w:r>
        <w:rPr>
          <w:rFonts w:ascii="Arial" w:cs="Arial" w:eastAsia="Arial" w:hAnsi="Arial"/>
          <w:sz w:val="22"/>
          <w:szCs w:val="22"/>
        </w:rPr>
        <w:t xml:space="preserve">Percent receiving Pell grants; percent receiving any grant aid; average institutional grant per recipient.</w:t>
      </w:r>
    </w:p>
    <w:p>
      <w:pPr>
        <w:pStyle w:val="ListParagraph"/>
        <w:numPr>
          <w:ilvl w:val="0"/>
          <w:numId w:val="1"/>
        </w:numPr>
        <w:spacing w:after="80"/>
      </w:pPr>
      <w:r>
        <w:rPr>
          <w:rFonts w:ascii="Arial" w:cs="Arial" w:eastAsia="Arial" w:hAnsi="Arial"/>
          <w:sz w:val="22"/>
          <w:szCs w:val="22"/>
        </w:rPr>
        <w:t xml:space="preserve">Institutional discount rate (computed: institutional grant divided by published tuition+fees).</w:t>
      </w:r>
    </w:p>
    <w:p>
      <w:pPr>
        <w:pStyle w:val="ListParagraph"/>
        <w:numPr>
          <w:ilvl w:val="0"/>
          <w:numId w:val="1"/>
        </w:numPr>
        <w:spacing w:after="80"/>
      </w:pPr>
      <w:r>
        <w:rPr>
          <w:rFonts w:ascii="Arial" w:cs="Arial" w:eastAsia="Arial" w:hAnsi="Arial"/>
          <w:sz w:val="22"/>
          <w:szCs w:val="22"/>
        </w:rPr>
        <w:t xml:space="preserve">Percent borrowing federal loans; average federal loan per borrower.</w:t>
      </w:r>
    </w:p>
    <w:p>
      <w:pPr>
        <w:pStyle w:val="ListParagraph"/>
        <w:numPr>
          <w:ilvl w:val="0"/>
          <w:numId w:val="1"/>
        </w:numPr>
        <w:spacing w:after="80"/>
      </w:pPr>
      <w:r>
        <w:rPr>
          <w:rFonts w:ascii="Arial" w:cs="Arial" w:eastAsia="Arial" w:hAnsi="Arial"/>
          <w:sz w:val="22"/>
          <w:szCs w:val="22"/>
        </w:rPr>
        <w:t xml:space="preserve">Average percent of need met (CDS / Academic Insights, metric_id 374).</w:t>
      </w:r>
    </w:p>
    <w:p>
      <w:pPr>
        <w:pStyle w:val="ListParagraph"/>
        <w:numPr>
          <w:ilvl w:val="0"/>
          <w:numId w:val="1"/>
        </w:numPr>
        <w:spacing w:after="80"/>
      </w:pPr>
      <w:r>
        <w:rPr>
          <w:rFonts w:ascii="Arial" w:cs="Arial" w:eastAsia="Arial" w:hAnsi="Arial"/>
          <w:sz w:val="22"/>
          <w:szCs w:val="22"/>
        </w:rPr>
        <w:t xml:space="preserve">Percent of students whose need was fully met (CDS / Academic Insights, metric_id 366).</w:t>
      </w:r>
    </w:p>
    <w:p>
      <w:pPr>
        <w:spacing w:after="160"/>
      </w:pPr>
      <w:r>
        <w:rPr>
          <w:rFonts w:ascii="Arial" w:cs="Arial" w:eastAsia="Arial" w:hAnsi="Arial"/>
          <w:b w:val="false"/>
          <w:bCs w:val="false"/>
          <w:i w:val="false"/>
          <w:iCs w:val="false"/>
          <w:color w:val="000000"/>
          <w:sz w:val="22"/>
          <w:szCs w:val="22"/>
        </w:rPr>
        <w:t xml:space="preserve">Detailed source variables and per-year host tables are in the companion crosswalk.</w:t>
      </w:r>
    </w:p>
    <w:p>
      <w:pPr>
        <w:pStyle w:val="Heading1"/>
        <w:spacing w:after="140" w:before="240"/>
      </w:pPr>
      <w:r>
        <w:rPr>
          <w:rFonts w:ascii="Arial" w:cs="Arial" w:eastAsia="Arial" w:hAnsi="Arial"/>
          <w:b/>
          <w:bCs/>
        </w:rPr>
        <w:t xml:space="preserve">The institution universe</w:t>
      </w:r>
    </w:p>
    <w:p>
      <w:pPr>
        <w:spacing w:after="160"/>
      </w:pPr>
      <w:r>
        <w:rPr>
          <w:rFonts w:ascii="Arial" w:cs="Arial" w:eastAsia="Arial" w:hAnsi="Arial"/>
          <w:b w:val="false"/>
          <w:bCs w:val="false"/>
          <w:i w:val="false"/>
          <w:iCs w:val="false"/>
          <w:color w:val="000000"/>
          <w:sz w:val="22"/>
          <w:szCs w:val="22"/>
        </w:rPr>
        <w:t xml:space="preserve">The universe is every public (IPEDS SECTOR 1) and private not-for-profit (SECTOR 2) four-year institution - roughly 2,470 institutions per year, about 2,600 distinct across the five collection years 2020-2024. Private for-profit institutions and two-year institutions are excluded by design.</w:t>
      </w:r>
    </w:p>
    <w:p>
      <w:pPr>
        <w:spacing w:after="160"/>
      </w:pPr>
      <w:r>
        <w:rPr>
          <w:rFonts w:ascii="Arial" w:cs="Arial" w:eastAsia="Arial" w:hAnsi="Arial"/>
          <w:b w:val="false"/>
          <w:bCs w:val="false"/>
          <w:i w:val="false"/>
          <w:iCs w:val="false"/>
          <w:color w:val="000000"/>
          <w:sz w:val="22"/>
          <w:szCs w:val="22"/>
        </w:rPr>
        <w:t xml:space="preserve">The shared schools.csv table carries one row per institution and is built once for the whole project. Its stable-attribute simplification: a small number of institutions changed sector or classification during the panel period, and schools.csv records the most recent value with the year in latest_year. This is documented, not detected case-by-case.</w:t>
      </w:r>
    </w:p>
    <w:p>
      <w:pPr>
        <w:pStyle w:val="Heading1"/>
        <w:spacing w:after="140" w:before="240"/>
      </w:pPr>
      <w:r>
        <w:rPr>
          <w:rFonts w:ascii="Arial" w:cs="Arial" w:eastAsia="Arial" w:hAnsi="Arial"/>
          <w:b/>
          <w:bCs/>
        </w:rPr>
        <w:t xml:space="preserve">Scoping with the U.S. News classification</w:t>
      </w:r>
    </w:p>
    <w:p>
      <w:pPr>
        <w:spacing w:after="160"/>
      </w:pPr>
      <w:r>
        <w:rPr>
          <w:rFonts w:ascii="Arial" w:cs="Arial" w:eastAsia="Arial" w:hAnsi="Arial"/>
          <w:b w:val="false"/>
          <w:bCs w:val="false"/>
          <w:i w:val="false"/>
          <w:iCs w:val="false"/>
          <w:color w:val="000000"/>
          <w:sz w:val="22"/>
          <w:szCs w:val="22"/>
        </w:rPr>
        <w:t xml:space="preserve">Each institution carries a classification field pulled from the Academic Insights /schools endpoint, enumerated by state, and joined on IPEDS UnitID. The schools.csv flag in_ranked_universe is TRUE for every institution classified as a National University, a National Liberal Arts College, or a Regional University (any of four regions) - about 1,235 institutions. Holy Cross is a National Liberal Arts College.</w:t>
      </w:r>
    </w:p>
    <w:p>
      <w:pPr>
        <w:spacing w:after="160"/>
      </w:pPr>
      <w:r>
        <w:rPr>
          <w:rFonts w:ascii="Arial" w:cs="Arial" w:eastAsia="Arial" w:hAnsi="Arial"/>
          <w:b w:val="false"/>
          <w:bCs w:val="false"/>
          <w:i w:val="false"/>
          <w:iCs w:val="false"/>
          <w:color w:val="000000"/>
          <w:sz w:val="22"/>
          <w:szCs w:val="22"/>
        </w:rPr>
        <w:t xml:space="preserve">This is a flag, not a filter. The roughly 1,360 institutions outside the ranked universe - regional colleges, specialty institutions, non-respondents - remain in the panel; they are simply marked. The application applies the flag when it needs the Holy Cross comparison set.</w:t>
      </w:r>
    </w:p>
    <w:p>
      <w:pPr>
        <w:spacing w:after="160"/>
      </w:pPr>
      <w:r>
        <w:rPr>
          <w:rFonts w:ascii="Arial" w:cs="Arial" w:eastAsia="Arial" w:hAnsi="Arial"/>
          <w:b w:val="false"/>
          <w:bCs w:val="false"/>
          <w:i w:val="false"/>
          <w:iCs w:val="false"/>
          <w:color w:val="000000"/>
          <w:sz w:val="22"/>
          <w:szCs w:val="22"/>
        </w:rPr>
        <w:t xml:space="preserve">Two honest caveats. First, classification comes from Academic Insights, which only covers U.S. News survey respondents, so an institution can lack a classification because it did not respond rather than because it is unranked. Second, the classification pulled is current and is applied uniformly to all five panel years; for a Holy-Cross-centered tool this is immaterial - Holy Cross has been a National Liberal Arts College throughout - but it is a documented simplification.</w:t>
      </w:r>
    </w:p>
    <w:p>
      <w:pPr>
        <w:pStyle w:val="Heading1"/>
        <w:spacing w:after="140" w:before="240"/>
      </w:pPr>
      <w:r>
        <w:rPr>
          <w:rFonts w:ascii="Arial" w:cs="Arial" w:eastAsia="Arial" w:hAnsi="Arial"/>
          <w:b/>
          <w:bCs/>
        </w:rPr>
        <w:t xml:space="preserve">Data retrieval</w:t>
      </w:r>
    </w:p>
    <w:p>
      <w:pPr>
        <w:spacing w:after="160"/>
      </w:pPr>
      <w:r>
        <w:rPr>
          <w:rFonts w:ascii="Arial" w:cs="Arial" w:eastAsia="Arial" w:hAnsi="Arial"/>
          <w:b w:val="false"/>
          <w:bCs w:val="false"/>
          <w:i w:val="false"/>
          <w:iCs w:val="false"/>
          <w:color w:val="000000"/>
          <w:sz w:val="22"/>
          <w:szCs w:val="22"/>
        </w:rPr>
        <w:t xml:space="preserve">IPEDS data is retrieved with the ipeds package’s load_ipeds() function, which downloads an entire collection and is independent of the package’s frozen survey registry. A year offset applies: load_ipeds(Y+1) returns the collection-year-Y tables. Several survey tables were reorganized over the five years - the financial-aid and cost tables in particular - and the companion crosswalk records the correct table for each year. A small wrinkle is handled in code: some older collections deliver column names with dots where newer ones use underscores, which the pipeline normalizes.</w:t>
      </w:r>
    </w:p>
    <w:p>
      <w:pPr>
        <w:spacing w:after="160"/>
      </w:pPr>
      <w:r>
        <w:rPr>
          <w:rFonts w:ascii="Arial" w:cs="Arial" w:eastAsia="Arial" w:hAnsi="Arial"/>
          <w:b w:val="false"/>
          <w:bCs w:val="false"/>
          <w:i w:val="false"/>
          <w:iCs w:val="false"/>
          <w:color w:val="000000"/>
          <w:sz w:val="22"/>
          <w:szCs w:val="22"/>
        </w:rPr>
        <w:t xml:space="preserve">The two Academic Insights metrics are pulled one metric per year to stay below the API’s response-size cap, and the request helper throttles its call rate and retries on rate-limit responses. The API key is read from an environment variable and never stored in the script.</w:t>
      </w:r>
    </w:p>
    <w:p>
      <w:pPr>
        <w:pStyle w:val="Heading1"/>
        <w:spacing w:after="140" w:before="240"/>
      </w:pPr>
      <w:r>
        <w:rPr>
          <w:rFonts w:ascii="Arial" w:cs="Arial" w:eastAsia="Arial" w:hAnsi="Arial"/>
          <w:b/>
          <w:bCs/>
        </w:rPr>
        <w:t xml:space="preserve">Known limitations</w:t>
      </w:r>
    </w:p>
    <w:p>
      <w:pPr>
        <w:pStyle w:val="ListParagraph"/>
        <w:numPr>
          <w:ilvl w:val="0"/>
          <w:numId w:val="1"/>
        </w:numPr>
        <w:spacing w:after="80"/>
      </w:pPr>
      <w:r>
        <w:rPr>
          <w:rFonts w:ascii="Arial" w:cs="Arial" w:eastAsia="Arial" w:hAnsi="Arial"/>
          <w:sz w:val="22"/>
          <w:szCs w:val="22"/>
        </w:rPr>
        <w:t xml:space="preserve">IPEDS aid variables describe full-time, first-time, degree-seeking undergraduates - the entering cohort, not all undergraduates. About 16% of private not-for-profit institutions enroll no entering cohort and therefore have no IPEDS aid data; this is correct, not missing data.</w:t>
      </w:r>
    </w:p>
    <w:p>
      <w:pPr>
        <w:pStyle w:val="ListParagraph"/>
        <w:numPr>
          <w:ilvl w:val="0"/>
          <w:numId w:val="1"/>
        </w:numPr>
        <w:spacing w:after="80"/>
      </w:pPr>
      <w:r>
        <w:rPr>
          <w:rFonts w:ascii="Arial" w:cs="Arial" w:eastAsia="Arial" w:hAnsi="Arial"/>
          <w:sz w:val="22"/>
          <w:szCs w:val="22"/>
        </w:rPr>
        <w:t xml:space="preserve">The two CDS metrics are populated for roughly 45% of the universe - Academic Insights survey respondents only - and are modestly better covered for public than for private institutions. They are an enrichment layer, not a universe-wide measure.</w:t>
      </w:r>
    </w:p>
    <w:p>
      <w:pPr>
        <w:pStyle w:val="ListParagraph"/>
        <w:numPr>
          <w:ilvl w:val="0"/>
          <w:numId w:val="1"/>
        </w:numPr>
        <w:spacing w:after="80"/>
      </w:pPr>
      <w:r>
        <w:rPr>
          <w:rFonts w:ascii="Arial" w:cs="Arial" w:eastAsia="Arial" w:hAnsi="Arial"/>
          <w:sz w:val="22"/>
          <w:szCs w:val="22"/>
        </w:rPr>
        <w:t xml:space="preserve">The institutional discount rate uses in-state published tuition for public institutions; the figure would differ markedly against out-of-state tuition.</w:t>
      </w:r>
    </w:p>
    <w:p>
      <w:pPr>
        <w:pStyle w:val="ListParagraph"/>
        <w:numPr>
          <w:ilvl w:val="0"/>
          <w:numId w:val="1"/>
        </w:numPr>
        <w:spacing w:after="80"/>
      </w:pPr>
      <w:r>
        <w:rPr>
          <w:rFonts w:ascii="Arial" w:cs="Arial" w:eastAsia="Arial" w:hAnsi="Arial"/>
          <w:sz w:val="22"/>
          <w:szCs w:val="22"/>
        </w:rPr>
        <w:t xml:space="preserve">Scoping to the U.S. News classification means the comparison universe depends in part on a U.S. News editorial decision rather than purely on IPEDS, and may shift slightly as U.S. News reclassifies institutions.</w:t>
      </w:r>
    </w:p>
    <w:p>
      <w:pPr>
        <w:pStyle w:val="ListParagraph"/>
        <w:numPr>
          <w:ilvl w:val="0"/>
          <w:numId w:val="1"/>
        </w:numPr>
        <w:spacing w:after="80"/>
      </w:pPr>
      <w:r>
        <w:rPr>
          <w:rFonts w:ascii="Arial" w:cs="Arial" w:eastAsia="Arial" w:hAnsi="Arial"/>
          <w:sz w:val="22"/>
          <w:szCs w:val="22"/>
        </w:rPr>
        <w:t xml:space="preserve">The most recent IPEDS collection is provisional and values may change when finalized.</w:t>
      </w:r>
    </w:p>
    <w:p>
      <w:pPr>
        <w:pStyle w:val="Heading1"/>
        <w:spacing w:after="140" w:before="240"/>
      </w:pPr>
      <w:r>
        <w:rPr>
          <w:rFonts w:ascii="Arial" w:cs="Arial" w:eastAsia="Arial" w:hAnsi="Arial"/>
          <w:b/>
          <w:bCs/>
        </w:rPr>
        <w:t xml:space="preserve">How to run</w:t>
      </w:r>
    </w:p>
    <w:p>
      <w:pPr>
        <w:pStyle w:val="ListParagraph"/>
        <w:numPr>
          <w:ilvl w:val="0"/>
          <w:numId w:val="1"/>
        </w:numPr>
        <w:spacing w:after="80"/>
      </w:pPr>
      <w:r>
        <w:rPr>
          <w:rFonts w:ascii="Arial" w:cs="Arial" w:eastAsia="Arial" w:hAnsi="Arial"/>
          <w:sz w:val="22"/>
          <w:szCs w:val="22"/>
        </w:rPr>
        <w:t xml:space="preserve">Set the API key once: add ACADEMIC_INSIGHTS_API_KEY to your ~/.Renviron file.</w:t>
      </w:r>
    </w:p>
    <w:p>
      <w:pPr>
        <w:pStyle w:val="ListParagraph"/>
        <w:numPr>
          <w:ilvl w:val="0"/>
          <w:numId w:val="1"/>
        </w:numPr>
        <w:spacing w:after="80"/>
      </w:pPr>
      <w:r>
        <w:rPr>
          <w:rFonts w:ascii="Arial" w:cs="Arial" w:eastAsia="Arial" w:hAnsi="Arial"/>
          <w:sz w:val="22"/>
          <w:szCs w:val="22"/>
        </w:rPr>
        <w:t xml:space="preserve">Build schools.csv first: source("schools_pipeline.R"); build_schools(). This runs the HD pulls and the classification pull and writes schools.csv.</w:t>
      </w:r>
    </w:p>
    <w:p>
      <w:pPr>
        <w:pStyle w:val="ListParagraph"/>
        <w:numPr>
          <w:ilvl w:val="0"/>
          <w:numId w:val="1"/>
        </w:numPr>
        <w:spacing w:after="80"/>
      </w:pPr>
      <w:r>
        <w:rPr>
          <w:rFonts w:ascii="Arial" w:cs="Arial" w:eastAsia="Arial" w:hAnsi="Arial"/>
          <w:sz w:val="22"/>
          <w:szCs w:val="22"/>
        </w:rPr>
        <w:t xml:space="preserve">Run the aid module: source("aid_module_pipeline.R"); res &lt;- run_aid_module(). Outputs are aid_facts.csv and aid_variables.csv, joined to schools.csv on unitid.</w:t>
      </w:r>
    </w:p>
    <w:p>
      <w:pPr>
        <w:pStyle w:val="ListParagraph"/>
        <w:numPr>
          <w:ilvl w:val="0"/>
          <w:numId w:val="1"/>
        </w:numPr>
        <w:spacing w:after="80"/>
      </w:pPr>
      <w:r>
        <w:rPr>
          <w:rFonts w:ascii="Arial" w:cs="Arial" w:eastAsia="Arial" w:hAnsi="Arial"/>
          <w:sz w:val="22"/>
          <w:szCs w:val="22"/>
        </w:rPr>
        <w:t xml:space="preserve">Define the Holy Cross comparison set at the analysis layer by filtering schools.csv on in_ranked_universe, or on usnews_classification == "national-liberal-arts-colleges" for the tightest peer group.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8"/>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2026-05-20T15:16:35.830Z</dcterms:created>
  <dcterms:modified xsi:type="dcterms:W3CDTF">2026-05-20T15:16:35.844Z</dcterms:modified>
</cp:coreProperties>
</file>

<file path=docProps/custom.xml><?xml version="1.0" encoding="utf-8"?>
<Properties xmlns="http://schemas.openxmlformats.org/officeDocument/2006/custom-properties" xmlns:vt="http://schemas.openxmlformats.org/officeDocument/2006/docPropsVTypes"/>
</file>