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Arial" w:cs="Arial" w:eastAsia="Arial" w:hAnsi="Arial"/>
          <w:b/>
          <w:bCs/>
          <w:color w:val="1F4E78"/>
          <w:sz w:val="32"/>
          <w:szCs w:val="32"/>
        </w:rPr>
        <w:t xml:space="preserve">Comparison Tool - Variable Architecture Design Spec (Revised)</w:t>
      </w:r>
    </w:p>
    <w:p>
      <w:pPr>
        <w:spacing w:after="200"/>
      </w:pPr>
      <w:r>
        <w:rPr>
          <w:rFonts w:ascii="Arial" w:cs="Arial" w:eastAsia="Arial" w:hAnsi="Arial"/>
          <w:i/>
          <w:iCs/>
          <w:color w:val="595959"/>
          <w:sz w:val="21"/>
          <w:szCs w:val="21"/>
        </w:rPr>
        <w:t xml:space="preserve">Five-category design, revised after section-by-section review - College of the Holy Cross</w:t>
      </w:r>
    </w:p>
    <w:p>
      <w:pPr>
        <w:spacing w:after="160"/>
      </w:pPr>
      <w:r>
        <w:rPr>
          <w:rFonts w:ascii="Arial" w:cs="Arial" w:eastAsia="Arial" w:hAnsi="Arial"/>
          <w:b w:val="false"/>
          <w:bCs w:val="false"/>
          <w:i w:val="false"/>
          <w:iCs w:val="false"/>
          <w:color w:val="000000"/>
          <w:sz w:val="22"/>
          <w:szCs w:val="22"/>
        </w:rPr>
        <w:t xml:space="preserve">This revised spec incorporates the section-by-section review of all five comparison categories beyond the completed Financial Aid module. It is a paper design: variable names, host tables, and coverage are drawn from the IPEDS codebooks and remain provisional until verified at build time, since the aid module showed that table reorganizations and naming artifacts surface only when data is actually pulled.</w:t>
      </w:r>
    </w:p>
    <w:p>
      <w:pPr>
        <w:pStyle w:val="Heading2"/>
        <w:spacing w:after="130" w:before="240"/>
      </w:pPr>
      <w:r>
        <w:rPr>
          <w:rFonts w:ascii="Arial" w:cs="Arial" w:eastAsia="Arial" w:hAnsi="Arial"/>
          <w:b/>
          <w:bCs/>
        </w:rPr>
        <w:t xml:space="preserve">How to read the tables</w:t>
      </w:r>
    </w:p>
    <w:p>
      <w:pPr>
        <w:spacing w:after="60"/>
      </w:pPr>
      <w:r>
        <w:rPr>
          <w:rFonts w:ascii="Arial" w:cs="Arial" w:eastAsia="Arial" w:hAnsi="Arial"/>
          <w:b w:val="false"/>
          <w:bCs w:val="false"/>
          <w:i w:val="false"/>
          <w:iCs w:val="false"/>
          <w:color w:val="000000"/>
          <w:sz w:val="22"/>
          <w:szCs w:val="22"/>
        </w:rPr>
        <w:t xml:space="preserve">Each variable carries a Source, a Use tag, and a Comparison-scope tag.</w:t>
      </w:r>
    </w:p>
    <w:p>
      <w:pPr>
        <w:spacing w:after="60"/>
      </w:pPr>
      <w:r>
        <w:rPr>
          <w:rFonts w:ascii="Arial" w:cs="Arial" w:eastAsia="Arial" w:hAnsi="Arial"/>
          <w:b w:val="false"/>
          <w:bCs w:val="false"/>
          <w:i w:val="false"/>
          <w:iCs w:val="false"/>
          <w:color w:val="000000"/>
          <w:sz w:val="20"/>
          <w:szCs w:val="20"/>
        </w:rPr>
        <w:t xml:space="preserve">Source - IPEDS (full universe coverage), CDS-unique / CDS (Academic Insights, ~45% coverage, captures something IPEDS lacks; shown in red), or Scorecard (College Scorecard, joined on UnitID; shown in purple).</w:t>
      </w:r>
    </w:p>
    <w:p>
      <w:pPr>
        <w:spacing w:after="60"/>
      </w:pPr>
      <w:r>
        <w:rPr>
          <w:rFonts w:ascii="Arial" w:cs="Arial" w:eastAsia="Arial" w:hAnsi="Arial"/>
          <w:b w:val="false"/>
          <w:bCs w:val="false"/>
          <w:i w:val="false"/>
          <w:iCs w:val="false"/>
          <w:color w:val="000000"/>
          <w:sz w:val="20"/>
          <w:szCs w:val="20"/>
        </w:rPr>
        <w:t xml:space="preserve">Use - Clustering (drives peer-set / similarity logic), Descriptive (shown on profiles but not used for clustering), or Exploratory (carried but not a core variable).</w:t>
      </w:r>
    </w:p>
    <w:p>
      <w:pPr>
        <w:spacing w:after="160"/>
      </w:pPr>
      <w:r>
        <w:rPr>
          <w:rFonts w:ascii="Arial" w:cs="Arial" w:eastAsia="Arial" w:hAnsi="Arial"/>
          <w:b w:val="false"/>
          <w:bCs w:val="false"/>
          <w:i w:val="false"/>
          <w:iCs w:val="false"/>
          <w:color w:val="000000"/>
          <w:sz w:val="20"/>
          <w:szCs w:val="20"/>
        </w:rPr>
        <w:t xml:space="preserve">Comparison scope - Cross-category (reasonably comparable across institution types) or Within-category (reliable only when comparing similar institutions; carries a caveat when used across types). This tag exists because per-FTE and wealth metrics are distorted by large graduate populations - sound within a Carnegie band, shaky across the whole universe.</w:t>
      </w:r>
    </w:p>
    <w:p>
      <w:pPr>
        <w:spacing w:after="160"/>
      </w:pPr>
      <w:r>
        <w:rPr>
          <w:rFonts w:ascii="Arial" w:cs="Arial" w:eastAsia="Arial" w:hAnsi="Arial"/>
          <w:b w:val="false"/>
          <w:bCs w:val="false"/>
          <w:i w:val="false"/>
          <w:iCs w:val="false"/>
          <w:color w:val="000000"/>
          <w:sz w:val="20"/>
          <w:szCs w:val="20"/>
        </w:rPr>
        <w:t xml:space="preserve">Both the Use and Comparison-scope tags, and the separating-power judgments behind them, are a first pass. A formal separator-screening step - correlation and variance analysis, including variance within vs across Carnegie bands - is deferred and will set the final tags with evidence.</w:t>
      </w:r>
    </w:p>
    <w:p>
      <w:pPr>
        <w:pStyle w:val="Heading2"/>
        <w:spacing w:after="130" w:before="240"/>
      </w:pPr>
      <w:r>
        <w:rPr>
          <w:rFonts w:ascii="Arial" w:cs="Arial" w:eastAsia="Arial" w:hAnsi="Arial"/>
          <w:b/>
          <w:bCs/>
        </w:rPr>
        <w:t xml:space="preserve">Cross-category design notes</w:t>
      </w:r>
    </w:p>
    <w:p>
      <w:pPr>
        <w:spacing w:after="160"/>
      </w:pPr>
      <w:r>
        <w:rPr>
          <w:rFonts w:ascii="Arial" w:cs="Arial" w:eastAsia="Arial" w:hAnsi="Arial"/>
          <w:b w:val="false"/>
          <w:bCs w:val="false"/>
          <w:i w:val="false"/>
          <w:iCs w:val="false"/>
          <w:color w:val="000000"/>
          <w:sz w:val="22"/>
          <w:szCs w:val="22"/>
        </w:rPr>
        <w:t xml:space="preserve">Overlap resolved. Instruction expense per FTE and instructional share of spending have been moved from Finance to Instructional Resources, where they belong conceptually. This resolves the double-counting the first draft flagged.</w:t>
      </w:r>
    </w:p>
    <w:p>
      <w:pPr>
        <w:spacing w:after="160"/>
      </w:pPr>
      <w:r>
        <w:rPr>
          <w:rFonts w:ascii="Arial" w:cs="Arial" w:eastAsia="Arial" w:hAnsi="Arial"/>
          <w:b w:val="false"/>
          <w:bCs w:val="false"/>
          <w:i w:val="false"/>
          <w:iCs w:val="false"/>
          <w:color w:val="000000"/>
          <w:sz w:val="22"/>
          <w:szCs w:val="22"/>
        </w:rPr>
        <w:t xml:space="preserve">NECHE peer-metric set. The College’s accreditor, NECHE, groups peers using seven equally-weighted metrics: total, undergraduate, first-time and full-time enrollment, Pell grants awarded, R&amp;D expenditures, and doctoral degrees awarded. NECHE first groups by the 2025 Carnegie Institutional Classification (CARNEGIEIC - confirmed against the codebook; available only in the 2024-25 collection, so applied as a current classification across all panel years). These seven variables stay in their natural categories but are tagged as a named set so a future app can reconstruct NECHE’s comparison basis exactly.</w:t>
      </w:r>
    </w:p>
    <w:p>
      <w:pPr>
        <w:spacing w:after="160"/>
      </w:pPr>
      <w:r>
        <w:rPr>
          <w:rFonts w:ascii="Arial" w:cs="Arial" w:eastAsia="Arial" w:hAnsi="Arial"/>
          <w:b w:val="false"/>
          <w:bCs w:val="false"/>
          <w:i w:val="false"/>
          <w:iCs w:val="false"/>
          <w:color w:val="000000"/>
          <w:sz w:val="22"/>
          <w:szCs w:val="22"/>
        </w:rPr>
        <w:t xml:space="preserve">Redundancy to screen. Instructional Resources now carries three per-FTE expense-function variables (instruction, academic support, student services per FTE). These are correlated and should be screened for redundancy before the variable set is finalized.</w:t>
      </w:r>
    </w:p>
    <w:p>
      <w:pPr>
        <w:spacing w:after="160"/>
      </w:pPr>
      <w:r>
        <w:rPr>
          <w:rFonts w:ascii="Arial" w:cs="Arial" w:eastAsia="Arial" w:hAnsi="Arial"/>
          <w:b w:val="false"/>
          <w:bCs w:val="false"/>
          <w:i w:val="false"/>
          <w:iCs w:val="false"/>
          <w:color w:val="000000"/>
          <w:sz w:val="22"/>
          <w:szCs w:val="22"/>
        </w:rPr>
        <w:t xml:space="preserve">New data source. Outcomes uses College Scorecard for earnings and loan repayment - the one category needing a third source. The same Scorecard pull will also retrieve each institution’s accreditor (ACCREDAGENCY), carried as an attribute / filter field, not a clustering variable.</w:t>
      </w:r>
    </w:p>
    <w:p>
      <w:pPr>
        <w:pStyle w:val="Heading1"/>
        <w:spacing w:after="130" w:before="240"/>
      </w:pPr>
      <w:r>
        <w:rPr>
          <w:rFonts w:ascii="Arial" w:cs="Arial" w:eastAsia="Arial" w:hAnsi="Arial"/>
          <w:b/>
          <w:bCs/>
        </w:rPr>
        <w:t xml:space="preserve">1. Admissions &amp; Selectivity</w:t>
      </w:r>
    </w:p>
    <w:p>
      <w:pPr>
        <w:spacing w:after="160"/>
      </w:pPr>
      <w:r>
        <w:rPr>
          <w:rFonts w:ascii="Arial" w:cs="Arial" w:eastAsia="Arial" w:hAnsi="Arial"/>
          <w:b w:val="false"/>
          <w:bCs w:val="false"/>
          <w:i w:val="false"/>
          <w:iCs w:val="false"/>
          <w:color w:val="000000"/>
          <w:sz w:val="20"/>
          <w:szCs w:val="20"/>
        </w:rPr>
        <w:t xml:space="preserve">The strongest-separating category. Acceptance rate and yield are the clustering backbone. Test scores, though - the marquee admissions variable - are demoted to descriptive: in a test-optional era the mid-50% describes a self-selected slice of submitters, so the score is misleading for clustering. SAT and ACT are kept separate (no concordance, since descriptive use does not require one), and the submission rate is promoted to a core clustering variable in its own right.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40"/>
        <w:gridCol w:w="2680"/>
        <w:gridCol w:w="1640"/>
        <w:gridCol w:w="1500"/>
        <w:gridCol w:w="1500"/>
        <w:gridCol w:w="5920"/>
      </w:tblGrid>
      <w:tr>
        <w:tc>
          <w:tcPr>
            <w:tcW w:type="dxa" w:w="44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8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Proposed variable</w:t>
            </w:r>
          </w:p>
        </w:tc>
        <w:tc>
          <w:tcPr>
            <w:tcW w:type="dxa" w:w="164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Source</w:t>
            </w:r>
          </w:p>
        </w:tc>
        <w:tc>
          <w:tcPr>
            <w:tcW w:type="dxa" w:w="15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Use</w:t>
            </w:r>
          </w:p>
        </w:tc>
        <w:tc>
          <w:tcPr>
            <w:tcW w:type="dxa" w:w="15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Comparison scope</w:t>
            </w:r>
          </w:p>
        </w:tc>
        <w:tc>
          <w:tcPr>
            <w:tcW w:type="dxa" w:w="592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1</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Acceptance rate</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ADMSSN / APPLCN. The primary selectivity axis.</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2</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Yield rate</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ENRLT / ADMSSN. Separates preferred from "safety" schools.</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3</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Application volume</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APPLCN. Scale of demand; correlates with size.</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4</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SAT mid-50%</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Descriptive only</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Descriptive</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SATVR/SATMT 25th-75th. NOT used for clustering - submission bias.</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5</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ACT mid-50%</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Descriptive only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Descriptive</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ACTCM 25th-75th. Kept separate from SAT (no concordance).</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6</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Percent submitting test scores</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color w:val="FFFFFF"/>
                <w:sz w:val="17"/>
                <w:szCs w:val="17"/>
              </w:rPr>
              <w:t xml:space="preserve">CDS / 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SATPCT/ACTPCT. The companion to #4-5; a real separator itself.</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7</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Test-optional / test policy</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FFFFFF"/>
                <w:sz w:val="17"/>
                <w:szCs w:val="17"/>
              </w:rPr>
              <w:t xml:space="preserve">CDS-unique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CDS section C. ~45% coverage.</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8</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Percent enrolled in top 10% of HS class</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color w:val="FFFFFF"/>
                <w:sz w:val="17"/>
                <w:szCs w:val="17"/>
              </w:rPr>
              <w:t xml:space="preserve">CDS-unique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CDS section C. IPEDS no longer carries class rank. ~45% coverage.</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9</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Early decision / early action share</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FFFFFF"/>
                <w:sz w:val="17"/>
                <w:szCs w:val="17"/>
              </w:rPr>
              <w:t xml:space="preserve">CDS-unique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CDS section C. Admissions strategy. ~45% coverage.</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Yield, admitted men vs women</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Exploratory</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Derived from ADM gender splits. Not a core variable.</w:t>
            </w:r>
          </w:p>
        </w:tc>
      </w:tr>
    </w:tbl>
    <w:p>
      <w:pPr>
        <w:spacing w:after="90"/>
      </w:pPr>
      <w:r>
        <w:t xml:space="preserve"/>
      </w:r>
    </w:p>
    <w:p>
      <w:pPr>
        <w:pStyle w:val="Heading1"/>
        <w:spacing w:after="130" w:before="240"/>
      </w:pPr>
      <w:r>
        <w:rPr>
          <w:rFonts w:ascii="Arial" w:cs="Arial" w:eastAsia="Arial" w:hAnsi="Arial"/>
          <w:b/>
          <w:bCs/>
        </w:rPr>
        <w:t xml:space="preserve">2. Enrollment &amp; Student Body</w:t>
      </w:r>
    </w:p>
    <w:p>
      <w:pPr>
        <w:spacing w:after="160"/>
      </w:pPr>
      <w:r>
        <w:rPr>
          <w:rFonts w:ascii="Arial" w:cs="Arial" w:eastAsia="Arial" w:hAnsi="Arial"/>
          <w:b w:val="false"/>
          <w:bCs w:val="false"/>
          <w:i w:val="false"/>
          <w:iCs w:val="false"/>
          <w:color w:val="000000"/>
          <w:sz w:val="20"/>
          <w:szCs w:val="20"/>
        </w:rPr>
        <w:t xml:space="preserve">Mostly IPEDS. Carries the four enrollment metrics from the NECHE peer set. The undergraduate/graduate balance is stored as raw counts and the ratio derived downstream, so it does not break for all-undergraduate institutions such as Holy Cross. Race/ethnicity is a three-level White / International / BIPOC variable for clustering - "International" is a visa status, not a race, a simplification noted in the methodology - with the finer IPEDS detail retained as descriptive.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40"/>
        <w:gridCol w:w="2680"/>
        <w:gridCol w:w="1640"/>
        <w:gridCol w:w="1500"/>
        <w:gridCol w:w="1500"/>
        <w:gridCol w:w="5920"/>
      </w:tblGrid>
      <w:tr>
        <w:tc>
          <w:tcPr>
            <w:tcW w:type="dxa" w:w="44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8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Proposed variable</w:t>
            </w:r>
          </w:p>
        </w:tc>
        <w:tc>
          <w:tcPr>
            <w:tcW w:type="dxa" w:w="164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Source</w:t>
            </w:r>
          </w:p>
        </w:tc>
        <w:tc>
          <w:tcPr>
            <w:tcW w:type="dxa" w:w="15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Use</w:t>
            </w:r>
          </w:p>
        </w:tc>
        <w:tc>
          <w:tcPr>
            <w:tcW w:type="dxa" w:w="15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Comparison scope</w:t>
            </w:r>
          </w:p>
        </w:tc>
        <w:tc>
          <w:tcPr>
            <w:tcW w:type="dxa" w:w="592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1</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Total enrollment</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DRVEF. NECHE peer-metric set.</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2</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Undergraduate enrollment</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EFUG. NECHE peer-metric set.</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3</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First-time enrollment</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NECHE peer-metric set.</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4</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Full-time enrollment</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NECHE peer-metric set.</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5</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Undergraduate &amp; graduate counts</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UG/grad ratio DERIVED downstream from counts - avoids divide-by-zero for all-UG schools.</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6</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Transfer-in enrollment</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EFUGTRN. New, non-first-time entering students.</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7</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Race/ethnicity: White / Intl / BIPOC</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3-level. Raw IPEDS detail (Asian/Hisp/Black...) retained as descriptive only.</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8</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Percent part-time undergraduate</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Separates residential from commuter/working-student schools.</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9</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Percent of UG age 25+</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DVEF15. Traditional vs adult-serving.</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10</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Residential / on-campus share</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color w:val="FFFFFF"/>
                <w:sz w:val="17"/>
                <w:szCs w:val="17"/>
              </w:rPr>
              <w:t xml:space="preserve">CDS-unique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CDS does this better than IPEDS. ~45% coverage.</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11</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Percent first-generation</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FFFFFF"/>
                <w:sz w:val="17"/>
                <w:szCs w:val="17"/>
              </w:rPr>
              <w:t xml:space="preserve">CDS-unique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Descriptive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Descriptive</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CDS / Academic Insights. Not in IPEDS. ~45% coverage.</w:t>
            </w:r>
          </w:p>
        </w:tc>
      </w:tr>
    </w:tbl>
    <w:p>
      <w:pPr>
        <w:spacing w:after="90"/>
      </w:pPr>
      <w:r>
        <w:t xml:space="preserve"/>
      </w:r>
    </w:p>
    <w:p>
      <w:pPr>
        <w:pStyle w:val="Heading1"/>
        <w:spacing w:after="130" w:before="240"/>
      </w:pPr>
      <w:r>
        <w:rPr>
          <w:rFonts w:ascii="Arial" w:cs="Arial" w:eastAsia="Arial" w:hAnsi="Arial"/>
          <w:b/>
          <w:bCs/>
        </w:rPr>
        <w:t xml:space="preserve">3. Outcomes</w:t>
      </w:r>
    </w:p>
    <w:p>
      <w:pPr>
        <w:spacing w:after="160"/>
      </w:pPr>
      <w:r>
        <w:rPr>
          <w:rFonts w:ascii="Arial" w:cs="Arial" w:eastAsia="Arial" w:hAnsi="Arial"/>
          <w:b w:val="false"/>
          <w:bCs w:val="false"/>
          <w:i w:val="false"/>
          <w:iCs w:val="false"/>
          <w:color w:val="000000"/>
          <w:sz w:val="20"/>
          <w:szCs w:val="20"/>
        </w:rPr>
        <w:t xml:space="preserve">IPEDS-strong for graduation and retention. Two equity gaps - Pell and first-generation - mirror the U.S. News social-mobility emphasis; the first-gen gap is Academic Insights data. Earnings and loan repayment come from College Scorecard. Doctoral degrees awarded lives here as a completions variable and is part of the NECHE set.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40"/>
        <w:gridCol w:w="2680"/>
        <w:gridCol w:w="1640"/>
        <w:gridCol w:w="1500"/>
        <w:gridCol w:w="1500"/>
        <w:gridCol w:w="5920"/>
      </w:tblGrid>
      <w:tr>
        <w:tc>
          <w:tcPr>
            <w:tcW w:type="dxa" w:w="44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8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Proposed variable</w:t>
            </w:r>
          </w:p>
        </w:tc>
        <w:tc>
          <w:tcPr>
            <w:tcW w:type="dxa" w:w="164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Source</w:t>
            </w:r>
          </w:p>
        </w:tc>
        <w:tc>
          <w:tcPr>
            <w:tcW w:type="dxa" w:w="15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Use</w:t>
            </w:r>
          </w:p>
        </w:tc>
        <w:tc>
          <w:tcPr>
            <w:tcW w:type="dxa" w:w="15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Comparison scope</w:t>
            </w:r>
          </w:p>
        </w:tc>
        <w:tc>
          <w:tcPr>
            <w:tcW w:type="dxa" w:w="592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1</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Six-year graduation rate</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GBA6RTT, DRVGR. Core outcomes separator.</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2</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First-year retention rate</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RET_PCF. Strong early-outcome signal.</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3</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Four-year graduation rate</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GBA4RTT. On-time completion.</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4</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Transfer-out rate</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TRRTTOT. A different student trajectory.</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5</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Pell vs non-Pell graduation gap</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From Outcome Measures. Equity separator.</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6</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First-gen vs non-first-gen grad gap</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color w:val="FFFFFF"/>
                <w:sz w:val="17"/>
                <w:szCs w:val="17"/>
              </w:rPr>
              <w:t xml:space="preserve">CDS-unique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Academic Insights. US News methodology. Verify pre-computed vs two metrics at build. ~45% coverage.</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7</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Median earnings, 10 yrs after entry</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FFFFFF"/>
                <w:sz w:val="17"/>
                <w:szCs w:val="17"/>
              </w:rPr>
              <w:t xml:space="preserve">Scorecard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College Scorecard. Not in IPEDS. Strong separator.</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8</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Median earnings, 6 yrs after entry</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color w:val="FFFFFF"/>
                <w:sz w:val="17"/>
                <w:szCs w:val="17"/>
              </w:rPr>
              <w:t xml:space="preserve">Scorecard</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College Scorecard. Earlier-career complement.</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9</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Loan repayment / default measure</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FFFFFF"/>
                <w:sz w:val="17"/>
                <w:szCs w:val="17"/>
              </w:rPr>
              <w:t xml:space="preserve">Scorecard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College Scorecard repayment metrics.</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10</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Doctoral degrees awarded</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Completions variable; lives here. NECHE peer-metric set.</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Graduation rate, men vs women</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Exploratory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GBA6RTM/W. Not a core variable.</w:t>
            </w:r>
          </w:p>
        </w:tc>
      </w:tr>
    </w:tbl>
    <w:p>
      <w:pPr>
        <w:spacing w:after="90"/>
      </w:pPr>
      <w:r>
        <w:t xml:space="preserve"/>
      </w:r>
    </w:p>
    <w:p>
      <w:pPr>
        <w:pStyle w:val="Heading1"/>
        <w:spacing w:after="130" w:before="240"/>
      </w:pPr>
      <w:r>
        <w:rPr>
          <w:rFonts w:ascii="Arial" w:cs="Arial" w:eastAsia="Arial" w:hAnsi="Arial"/>
          <w:b/>
          <w:bCs/>
        </w:rPr>
        <w:t xml:space="preserve">4. Institutional Finance</w:t>
      </w:r>
    </w:p>
    <w:p>
      <w:pPr>
        <w:spacing w:after="160"/>
      </w:pPr>
      <w:r>
        <w:rPr>
          <w:rFonts w:ascii="Arial" w:cs="Arial" w:eastAsia="Arial" w:hAnsi="Arial"/>
          <w:b w:val="false"/>
          <w:bCs w:val="false"/>
          <w:i w:val="false"/>
          <w:iCs w:val="false"/>
          <w:color w:val="000000"/>
          <w:sz w:val="20"/>
          <w:szCs w:val="20"/>
        </w:rPr>
        <w:t xml:space="preserve">All IPEDS-derived, and the category where the public/private reporting-form split (GASB vs FASB) applies - the form-aware handling worked out for earlier finance variables carries over. Endowment per FTE and the new endowment-dependence variable are a natural pair: how much wealth, and how much the institution leans on it. Per-FTE and wealth metrics are tagged within-category because large graduate populations distort them across institution types.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40"/>
        <w:gridCol w:w="2680"/>
        <w:gridCol w:w="1640"/>
        <w:gridCol w:w="1500"/>
        <w:gridCol w:w="1500"/>
        <w:gridCol w:w="5920"/>
      </w:tblGrid>
      <w:tr>
        <w:tc>
          <w:tcPr>
            <w:tcW w:type="dxa" w:w="44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8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Proposed variable</w:t>
            </w:r>
          </w:p>
        </w:tc>
        <w:tc>
          <w:tcPr>
            <w:tcW w:type="dxa" w:w="164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Source</w:t>
            </w:r>
          </w:p>
        </w:tc>
        <w:tc>
          <w:tcPr>
            <w:tcW w:type="dxa" w:w="15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Use</w:t>
            </w:r>
          </w:p>
        </w:tc>
        <w:tc>
          <w:tcPr>
            <w:tcW w:type="dxa" w:w="15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Comparison scope</w:t>
            </w:r>
          </w:p>
        </w:tc>
        <w:tc>
          <w:tcPr>
            <w:tcW w:type="dxa" w:w="592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1</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Endowment per FTE</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 (derived)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F#ENDMFT / FTE. Strong wealth separator. Form-aware (GASB/FASB).</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2</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Endowment dependence</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 (derived)</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NEW. Endowment draw / revenue or expenses. Formula confirmed at build; use stable draw not volatile return. Form-aware; cross-category caveat.</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3</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Tuition dependence</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 (derived)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Tuition revenue / total revenue.</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4</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Total core revenue per FTE</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 (derived)</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Overall resource level per student. Form-aware.</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5</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Operating margin per FTE</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 (derived)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Revenue minus expense. GASB/FASB concepts differ - documented caveat.</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6</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Net assets per FTE</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 (derived)</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Balance-sheet strength. Form-aware.</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7</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Published tuition &amp; fees</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Sticker price. Pairs with aid-module net price.</w:t>
            </w:r>
          </w:p>
        </w:tc>
      </w:tr>
    </w:tbl>
    <w:p>
      <w:pPr>
        <w:spacing w:after="90"/>
      </w:pPr>
      <w:r>
        <w:t xml:space="preserve"/>
      </w:r>
    </w:p>
    <w:p>
      <w:pPr>
        <w:pStyle w:val="Heading1"/>
        <w:spacing w:after="130" w:before="240"/>
      </w:pPr>
      <w:r>
        <w:rPr>
          <w:rFonts w:ascii="Arial" w:cs="Arial" w:eastAsia="Arial" w:hAnsi="Arial"/>
          <w:b/>
          <w:bCs/>
        </w:rPr>
        <w:t xml:space="preserve">5. Instructional Resources &amp; Cost</w:t>
      </w:r>
    </w:p>
    <w:p>
      <w:pPr>
        <w:spacing w:after="160"/>
      </w:pPr>
      <w:r>
        <w:rPr>
          <w:rFonts w:ascii="Arial" w:cs="Arial" w:eastAsia="Arial" w:hAnsi="Arial"/>
          <w:b w:val="false"/>
          <w:bCs w:val="false"/>
          <w:i w:val="false"/>
          <w:iCs w:val="false"/>
          <w:color w:val="000000"/>
          <w:sz w:val="20"/>
          <w:szCs w:val="20"/>
        </w:rPr>
        <w:t xml:space="preserve">Student-faculty ratio is the headline separator. A new tenure / tenure-track share variable joins it - with tenure-less institutions handled as a distinct category, not as zero. The strongest CDS-unique contribution in the spec is here: class-size distribution, which has no IPEDS equivalent. This category also inherits the two per-FTE variables moved out of Finance; the resulting cluster of per-FTE expense-function variables is flagged for redundancy screening.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40"/>
        <w:gridCol w:w="2680"/>
        <w:gridCol w:w="1640"/>
        <w:gridCol w:w="1500"/>
        <w:gridCol w:w="1500"/>
        <w:gridCol w:w="5920"/>
      </w:tblGrid>
      <w:tr>
        <w:tc>
          <w:tcPr>
            <w:tcW w:type="dxa" w:w="44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8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Proposed variable</w:t>
            </w:r>
          </w:p>
        </w:tc>
        <w:tc>
          <w:tcPr>
            <w:tcW w:type="dxa" w:w="164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Source</w:t>
            </w:r>
          </w:p>
        </w:tc>
        <w:tc>
          <w:tcPr>
            <w:tcW w:type="dxa" w:w="15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Use</w:t>
            </w:r>
          </w:p>
        </w:tc>
        <w:tc>
          <w:tcPr>
            <w:tcW w:type="dxa" w:w="15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Comparison scope</w:t>
            </w:r>
          </w:p>
        </w:tc>
        <w:tc>
          <w:tcPr>
            <w:tcW w:type="dxa" w:w="592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1</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Student-to-faculty ratio</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STUFACR. Headline instructional-resource separator.</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2</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Percent of faculty full-time</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Full-time / total instructional staff.</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3</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Tenure / tenure-track faculty share</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NEW. HR tables. Tenure-less institutions handled as a distinct category, not zero. Construction confirmed at build.</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4</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Average full-time faculty salary</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SALTOTL, DRVHR. Resource proxy.</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5</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Percent of classes under 20 students</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FFFFFF"/>
                <w:sz w:val="17"/>
                <w:szCs w:val="17"/>
              </w:rPr>
              <w:t xml:space="preserve">CDS-unique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CDS section I. No IPEDS equivalent. ~45% coverage.</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6</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Percent of classes 50+ students</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color w:val="FFFFFF"/>
                <w:sz w:val="17"/>
                <w:szCs w:val="17"/>
              </w:rPr>
              <w:t xml:space="preserve">CDS-unique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CDS section I. Large-lecture signature. ~45% coverage.</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7</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Instruction expense per FTE</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 (derived)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MOVED from Finance. Per-FTE expense-function group - screen for redundancy.</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8</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Instructional share of spending</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 (derived)</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Cross-category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MOVED from Finance. Instruction / total expenses.</w:t>
            </w:r>
          </w:p>
        </w:tc>
      </w:tr>
      <w:tr>
        <w:tc>
          <w:tcPr>
            <w:tcW w:type="dxa" w:w="4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9</w:t>
            </w:r>
          </w:p>
        </w:tc>
        <w:tc>
          <w:tcPr>
            <w:tcW w:type="dxa" w:w="2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Academic support spend per FTE</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IPEDS (derived)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7"/>
                <w:szCs w:val="17"/>
              </w:rPr>
              <w:t xml:space="preserve">Per-FTE expense-function group - screen for redundancy.</w:t>
            </w:r>
          </w:p>
        </w:tc>
      </w:tr>
      <w:tr>
        <w:tc>
          <w:tcPr>
            <w:tcW w:type="dxa" w:w="4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10</w:t>
            </w:r>
          </w:p>
        </w:tc>
        <w:tc>
          <w:tcPr>
            <w:tcW w:type="dxa" w:w="2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Student services spend per FTE</w:t>
            </w:r>
          </w:p>
        </w:tc>
        <w:tc>
          <w:tcPr>
            <w:tcW w:type="dxa" w:w="16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IPEDS (derived)</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Within-category</w:t>
            </w:r>
          </w:p>
        </w:tc>
        <w:tc>
          <w:tcPr>
            <w:tcW w:type="dxa" w:w="5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val="false"/>
                <w:bCs w:val="false"/>
                <w:color w:val="000000"/>
                <w:sz w:val="17"/>
                <w:szCs w:val="17"/>
              </w:rPr>
              <w:t xml:space="preserve">Per-FTE expense-function group - screen for redundancy.</w:t>
            </w:r>
          </w:p>
        </w:tc>
      </w:tr>
    </w:tbl>
    <w:p>
      <w:pPr>
        <w:spacing w:after="90"/>
      </w:pPr>
      <w:r>
        <w:t xml:space="preserve"/>
      </w:r>
    </w:p>
    <w:p>
      <w:pPr>
        <w:pStyle w:val="Heading2"/>
        <w:spacing w:after="130" w:before="240"/>
      </w:pPr>
      <w:r>
        <w:rPr>
          <w:rFonts w:ascii="Arial" w:cs="Arial" w:eastAsia="Arial" w:hAnsi="Arial"/>
          <w:b/>
          <w:bCs/>
        </w:rPr>
        <w:t xml:space="preserve">Open items for the screening step</w:t>
      </w:r>
    </w:p>
    <w:p>
      <w:pPr>
        <w:spacing w:after="0"/>
      </w:pPr>
      <w:r>
        <w:rPr>
          <w:rFonts w:ascii="Arial" w:cs="Arial" w:eastAsia="Arial" w:hAnsi="Arial"/>
          <w:b w:val="false"/>
          <w:bCs w:val="false"/>
          <w:i w:val="false"/>
          <w:iCs w:val="false"/>
          <w:color w:val="000000"/>
          <w:sz w:val="22"/>
          <w:szCs w:val="22"/>
        </w:rPr>
        <w:t xml:space="preserve">1. Separating power and the Use / Comparison-scope tags are provisional - confirm with correlation and within-vs-across-band variance analysis. 2. The three per-FTE expense-function variables in Instructional Resources should be screened for redundancy. 3. Exact formulas to confirm at build time: endowment dependence (which F1/F2 line items), the tenure-track construction (handling of no-tenure institutions), and whether the Academic Insights first-gen gap is one metric or two. 4. CDS-unique variables carry ~45% coverage - acceptable as flagged enrichment, not for universe-wide clustering.</w:t>
      </w:r>
    </w:p>
    <w:p>
      <w:pPr>
        <w:pStyle w:val="Heading2"/>
        <w:spacing w:after="130" w:before="240"/>
      </w:pPr>
      <w:r>
        <w:rPr>
          <w:rFonts w:ascii="Arial" w:cs="Arial" w:eastAsia="Arial" w:hAnsi="Arial"/>
          <w:b/>
          <w:bCs/>
        </w:rPr>
        <w:t xml:space="preserve">Recommended next step</w:t>
      </w:r>
    </w:p>
    <w:p>
      <w:pPr>
        <w:spacing w:after="0"/>
      </w:pPr>
      <w:r>
        <w:rPr>
          <w:rFonts w:ascii="Arial" w:cs="Arial" w:eastAsia="Arial" w:hAnsi="Arial"/>
          <w:b w:val="false"/>
          <w:bCs w:val="false"/>
          <w:i w:val="false"/>
          <w:iCs w:val="false"/>
          <w:color w:val="000000"/>
          <w:sz w:val="22"/>
          <w:szCs w:val="22"/>
        </w:rPr>
        <w:t xml:space="preserve">Build the Admissions module first - crosswalk, pipeline, methodology - matching the Financial Aid module pattern, and verify it against live data before moving to the next category in priority order: Enrollment, Outcomes, Finance, Instructional Resources.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Arial" w:cs="Arial" w:eastAsia="Arial" w:hAnsi="Arial"/>
      <w:b/>
      <w:bCs/>
      <w:color w:val="1F4E78"/>
      <w:sz w:val="27"/>
      <w:szCs w:val="27"/>
    </w:rPr>
  </w:style>
  <w:style w:type="paragraph" w:styleId="Heading2">
    <w:name w:val="Heading 2"/>
    <w:basedOn w:val="Normal"/>
    <w:next w:val="Normal"/>
    <w:qFormat/>
    <w:pPr>
      <w:spacing w:after="100" w:before="19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2026-05-19T19:52:57.083Z</dcterms:created>
  <dcterms:modified xsi:type="dcterms:W3CDTF">2026-05-19T19:52:57.095Z</dcterms:modified>
</cp:coreProperties>
</file>

<file path=docProps/custom.xml><?xml version="1.0" encoding="utf-8"?>
<Properties xmlns="http://schemas.openxmlformats.org/officeDocument/2006/custom-properties" xmlns:vt="http://schemas.openxmlformats.org/officeDocument/2006/docPropsVTypes"/>
</file>