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56CDB" w14:textId="0F637692" w:rsidR="00B55E2C" w:rsidRDefault="00B55E2C" w:rsidP="00CD0281">
      <w:pPr>
        <w:ind w:left="-567"/>
        <w:rPr>
          <w:rFonts w:ascii="Times New Roman" w:hAnsi="Times New Roman" w:cs="Times New Roman"/>
          <w:sz w:val="28"/>
          <w:szCs w:val="28"/>
        </w:rPr>
      </w:pPr>
      <w:r w:rsidRPr="00D75C6A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D75C6A">
        <w:rPr>
          <w:rFonts w:ascii="Times New Roman" w:hAnsi="Times New Roman" w:cs="Times New Roman"/>
          <w:sz w:val="24"/>
          <w:szCs w:val="24"/>
        </w:rPr>
        <w:t xml:space="preserve">      </w:t>
      </w:r>
      <w:r w:rsidR="00CD0281">
        <w:rPr>
          <w:rFonts w:ascii="Times New Roman" w:hAnsi="Times New Roman" w:cs="Times New Roman"/>
          <w:sz w:val="24"/>
          <w:szCs w:val="24"/>
        </w:rPr>
        <w:t xml:space="preserve"> </w:t>
      </w:r>
      <w:r w:rsidR="00D75C6A">
        <w:rPr>
          <w:rFonts w:ascii="Times New Roman" w:hAnsi="Times New Roman" w:cs="Times New Roman"/>
          <w:sz w:val="24"/>
          <w:szCs w:val="24"/>
        </w:rPr>
        <w:t xml:space="preserve">   </w:t>
      </w:r>
      <w:r w:rsidR="001F2684">
        <w:rPr>
          <w:rFonts w:ascii="Times New Roman" w:hAnsi="Times New Roman" w:cs="Times New Roman"/>
          <w:sz w:val="24"/>
          <w:szCs w:val="24"/>
        </w:rPr>
        <w:t xml:space="preserve">    </w:t>
      </w:r>
      <w:r w:rsidRPr="00D75C6A">
        <w:rPr>
          <w:rFonts w:ascii="Times New Roman" w:hAnsi="Times New Roman" w:cs="Times New Roman"/>
          <w:sz w:val="24"/>
          <w:szCs w:val="24"/>
        </w:rPr>
        <w:t xml:space="preserve"> </w:t>
      </w:r>
      <w:r w:rsidRPr="00D75C6A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14:paraId="247D656A" w14:textId="77777777" w:rsidR="001F2684" w:rsidRPr="001F2684" w:rsidRDefault="001F2684" w:rsidP="001F2684">
      <w:pPr>
        <w:ind w:left="-567"/>
        <w:rPr>
          <w:rFonts w:ascii="Times New Roman" w:hAnsi="Times New Roman" w:cs="Times New Roman"/>
          <w:sz w:val="24"/>
          <w:szCs w:val="24"/>
        </w:rPr>
      </w:pPr>
      <w:r w:rsidRPr="001F2684">
        <w:rPr>
          <w:rFonts w:ascii="Times New Roman" w:hAnsi="Times New Roman" w:cs="Times New Roman"/>
          <w:sz w:val="24"/>
          <w:szCs w:val="24"/>
        </w:rPr>
        <w:t>На основании расчетов, приведенных ниже, необходимо подобрать очистные сооружения</w:t>
      </w:r>
    </w:p>
    <w:tbl>
      <w:tblPr>
        <w:tblW w:w="11482" w:type="dxa"/>
        <w:tblInd w:w="-929" w:type="dxa"/>
        <w:tblLook w:val="04A0" w:firstRow="1" w:lastRow="0" w:firstColumn="1" w:lastColumn="0" w:noHBand="0" w:noVBand="1"/>
      </w:tblPr>
      <w:tblGrid>
        <w:gridCol w:w="1560"/>
        <w:gridCol w:w="709"/>
        <w:gridCol w:w="708"/>
        <w:gridCol w:w="553"/>
        <w:gridCol w:w="581"/>
        <w:gridCol w:w="851"/>
        <w:gridCol w:w="850"/>
        <w:gridCol w:w="1134"/>
        <w:gridCol w:w="851"/>
        <w:gridCol w:w="1276"/>
        <w:gridCol w:w="1127"/>
        <w:gridCol w:w="1282"/>
      </w:tblGrid>
      <w:tr w:rsidR="001F2684" w:rsidRPr="001F2684" w14:paraId="4BD9D3A0" w14:textId="77777777" w:rsidTr="009F63FD">
        <w:trPr>
          <w:trHeight w:val="315"/>
        </w:trPr>
        <w:tc>
          <w:tcPr>
            <w:tcW w:w="11482" w:type="dxa"/>
            <w:gridSpan w:val="1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A8628E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-BoldMT" w:eastAsia="Times New Roman" w:hAnsi="TimesNewRomanPS-BoldMT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F2684">
              <w:rPr>
                <w:rFonts w:ascii="TimesNewRomanPS-BoldMT" w:eastAsia="Times New Roman" w:hAnsi="TimesNewRomanPS-BoldMT" w:cs="Calibri"/>
                <w:b/>
                <w:bCs/>
                <w:color w:val="000000"/>
                <w:sz w:val="24"/>
                <w:szCs w:val="24"/>
                <w:lang w:eastAsia="ru-RU"/>
              </w:rPr>
              <w:t>Результаты гидравлического расчета</w:t>
            </w:r>
          </w:p>
        </w:tc>
      </w:tr>
      <w:tr w:rsidR="009F63FD" w:rsidRPr="001F2684" w14:paraId="62AD0DE0" w14:textId="77777777" w:rsidTr="009F63FD">
        <w:trPr>
          <w:trHeight w:val="300"/>
        </w:trPr>
        <w:tc>
          <w:tcPr>
            <w:tcW w:w="15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8CA5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 xml:space="preserve">ЛОС 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88E2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 xml:space="preserve">n 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81228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 xml:space="preserve">C </w:t>
            </w:r>
          </w:p>
        </w:tc>
        <w:tc>
          <w:tcPr>
            <w:tcW w:w="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4A04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Р,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г</w:t>
            </w:r>
          </w:p>
        </w:tc>
        <w:tc>
          <w:tcPr>
            <w:tcW w:w="5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D7237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Р</w:t>
            </w:r>
            <w:r w:rsidRPr="001F2684">
              <w:rPr>
                <w:rFonts w:ascii="TimesNewRomanPSMT" w:eastAsia="Times New Roman" w:hAnsi="TimesNewRomanPSMT" w:cs="Calibri"/>
                <w:color w:val="000000"/>
                <w:sz w:val="14"/>
                <w:szCs w:val="14"/>
                <w:lang w:eastAsia="ru-RU"/>
              </w:rPr>
              <w:t>lim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,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г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7E00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К</w:t>
            </w:r>
            <w:r w:rsidRPr="001F2684">
              <w:rPr>
                <w:rFonts w:ascii="TimesNewRomanPSMT" w:eastAsia="Times New Roman" w:hAnsi="TimesNewRomanPSMT" w:cs="Calibri"/>
                <w:color w:val="000000"/>
                <w:sz w:val="14"/>
                <w:szCs w:val="14"/>
                <w:lang w:eastAsia="ru-RU"/>
              </w:rPr>
              <w:t xml:space="preserve">1 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58D8F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К</w:t>
            </w:r>
            <w:r w:rsidRPr="001F2684">
              <w:rPr>
                <w:rFonts w:ascii="TimesNewRomanPSMT" w:eastAsia="Times New Roman" w:hAnsi="TimesNewRomanPSMT" w:cs="Calibri"/>
                <w:color w:val="000000"/>
                <w:sz w:val="14"/>
                <w:szCs w:val="14"/>
                <w:lang w:eastAsia="ru-RU"/>
              </w:rPr>
              <w:t>2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46C56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Расход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стоков,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Q</w:t>
            </w:r>
            <w:r w:rsidRPr="001F2684">
              <w:rPr>
                <w:rFonts w:ascii="TimesNewRomanPSMT" w:eastAsia="Times New Roman" w:hAnsi="TimesNewRomanPSMT" w:cs="Calibri"/>
                <w:color w:val="000000"/>
                <w:sz w:val="14"/>
                <w:szCs w:val="14"/>
                <w:lang w:eastAsia="ru-RU"/>
              </w:rPr>
              <w:t>r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, л/с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DA5C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Коэф.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Стока,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</w:r>
            <w:r w:rsidRPr="001F2684">
              <w:rPr>
                <w:rFonts w:ascii="TimesNewRomanPSMT" w:eastAsia="Times New Roman" w:hAnsi="TimesNewRomanPSMT" w:cs="Calibri"/>
                <w:color w:val="000000"/>
                <w:sz w:val="24"/>
                <w:szCs w:val="24"/>
                <w:lang w:eastAsia="ru-RU"/>
              </w:rPr>
              <w:t>Ψ</w:t>
            </w:r>
            <w:r w:rsidRPr="001F2684">
              <w:rPr>
                <w:rFonts w:ascii="TimesNewRomanPSMT" w:eastAsia="Times New Roman" w:hAnsi="TimesNewRomanPSMT" w:cs="Calibri"/>
                <w:color w:val="000000"/>
                <w:sz w:val="16"/>
                <w:szCs w:val="16"/>
                <w:lang w:eastAsia="ru-RU"/>
              </w:rPr>
              <w:t>mid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1E153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Предельный расход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дождевых стоков Q</w:t>
            </w:r>
            <w:r w:rsidRPr="001F2684">
              <w:rPr>
                <w:rFonts w:ascii="TimesNewRomanPSMT" w:eastAsia="Times New Roman" w:hAnsi="TimesNewRomanPSMT" w:cs="Calibri"/>
                <w:color w:val="000000"/>
                <w:sz w:val="14"/>
                <w:szCs w:val="14"/>
                <w:lang w:eastAsia="ru-RU"/>
              </w:rPr>
              <w:t>lim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,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л/с</w:t>
            </w:r>
          </w:p>
        </w:tc>
        <w:tc>
          <w:tcPr>
            <w:tcW w:w="12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0830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Принятая про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изводитель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ность (ЛОС),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л/с</w:t>
            </w:r>
          </w:p>
        </w:tc>
      </w:tr>
      <w:tr w:rsidR="001F2684" w:rsidRPr="001F2684" w14:paraId="5AA4AC4C" w14:textId="77777777" w:rsidTr="009F63FD">
        <w:trPr>
          <w:trHeight w:val="600"/>
        </w:trPr>
        <w:tc>
          <w:tcPr>
            <w:tcW w:w="15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2EB5" w14:textId="77777777" w:rsidR="001F2684" w:rsidRPr="001F2684" w:rsidRDefault="001F2684" w:rsidP="001F2684">
            <w:pPr>
              <w:spacing w:after="0" w:line="240" w:lineRule="auto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E918C" w14:textId="77777777" w:rsidR="001F2684" w:rsidRPr="001F2684" w:rsidRDefault="001F2684" w:rsidP="001F2684">
            <w:pPr>
              <w:spacing w:after="0" w:line="240" w:lineRule="auto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27FC1" w14:textId="77777777" w:rsidR="001F2684" w:rsidRPr="001F2684" w:rsidRDefault="001F2684" w:rsidP="001F2684">
            <w:pPr>
              <w:spacing w:after="0" w:line="240" w:lineRule="auto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</w:p>
        </w:tc>
        <w:tc>
          <w:tcPr>
            <w:tcW w:w="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C510" w14:textId="77777777" w:rsidR="001F2684" w:rsidRPr="001F2684" w:rsidRDefault="001F2684" w:rsidP="001F2684">
            <w:pPr>
              <w:spacing w:after="0" w:line="240" w:lineRule="auto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</w:p>
        </w:tc>
        <w:tc>
          <w:tcPr>
            <w:tcW w:w="5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3C843" w14:textId="77777777" w:rsidR="001F2684" w:rsidRPr="001F2684" w:rsidRDefault="001F2684" w:rsidP="001F2684">
            <w:pPr>
              <w:spacing w:after="0" w:line="240" w:lineRule="auto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676D4" w14:textId="77777777" w:rsidR="001F2684" w:rsidRPr="001F2684" w:rsidRDefault="001F2684" w:rsidP="001F2684">
            <w:pPr>
              <w:spacing w:after="0" w:line="240" w:lineRule="auto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9573D" w14:textId="77777777" w:rsidR="001F2684" w:rsidRPr="001F2684" w:rsidRDefault="001F2684" w:rsidP="001F2684">
            <w:pPr>
              <w:spacing w:after="0" w:line="240" w:lineRule="auto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4B026" w14:textId="77777777" w:rsidR="001F2684" w:rsidRPr="001F2684" w:rsidRDefault="001F2684" w:rsidP="001F2684">
            <w:pPr>
              <w:spacing w:after="0" w:line="240" w:lineRule="auto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69EB6" w14:textId="77777777" w:rsidR="001F2684" w:rsidRPr="001F2684" w:rsidRDefault="001F2684" w:rsidP="001F2684">
            <w:pPr>
              <w:spacing w:after="0" w:line="240" w:lineRule="auto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7E2A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 xml:space="preserve">1 способ 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(п.а)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BE720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2 способ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(п.б)</w:t>
            </w:r>
          </w:p>
        </w:tc>
        <w:tc>
          <w:tcPr>
            <w:tcW w:w="12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0BE969B" w14:textId="77777777" w:rsidR="001F2684" w:rsidRPr="001F2684" w:rsidRDefault="001F2684" w:rsidP="001F2684">
            <w:pPr>
              <w:spacing w:after="0" w:line="240" w:lineRule="auto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</w:p>
        </w:tc>
      </w:tr>
      <w:tr w:rsidR="001F2684" w:rsidRPr="001F2684" w14:paraId="45B48AF2" w14:textId="77777777" w:rsidTr="009F63FD">
        <w:trPr>
          <w:trHeight w:val="61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2C057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t>до</w:t>
            </w:r>
            <w:r w:rsidRPr="001F2684">
              <w:rPr>
                <w:rFonts w:ascii="TimesNewRomanPSMT" w:eastAsia="Times New Roman" w:hAnsi="TimesNewRomanPSMT" w:cs="Calibri"/>
                <w:color w:val="000000"/>
                <w:lang w:eastAsia="ru-RU"/>
              </w:rPr>
              <w:br/>
              <w:t>рога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9B68E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 xml:space="preserve">0,71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D1D41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 xml:space="preserve">0,85 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8453E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53451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 xml:space="preserve">0,1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4C445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 xml:space="preserve">0,22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A516D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 xml:space="preserve">1,0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28B93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18375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 xml:space="preserve">0,29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FF7D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 xml:space="preserve">126,8 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22C0A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 xml:space="preserve">113,5 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03600" w14:textId="77777777" w:rsidR="001F2684" w:rsidRPr="001F2684" w:rsidRDefault="001F2684" w:rsidP="001F2684">
            <w:pPr>
              <w:spacing w:after="0" w:line="240" w:lineRule="auto"/>
              <w:jc w:val="center"/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</w:pPr>
            <w:r w:rsidRPr="001F2684">
              <w:rPr>
                <w:rFonts w:ascii="TimesNewRomanPSMT" w:eastAsia="Times New Roman" w:hAnsi="TimesNewRomanPSMT" w:cs="Calibri"/>
                <w:color w:val="000000"/>
                <w:sz w:val="20"/>
                <w:szCs w:val="20"/>
                <w:lang w:eastAsia="ru-RU"/>
              </w:rPr>
              <w:t>160</w:t>
            </w:r>
          </w:p>
        </w:tc>
      </w:tr>
    </w:tbl>
    <w:p w14:paraId="3A4343CD" w14:textId="77777777" w:rsidR="001F2684" w:rsidRPr="001F2684" w:rsidRDefault="001F2684" w:rsidP="001F2684">
      <w:pPr>
        <w:ind w:left="-567"/>
        <w:rPr>
          <w:rFonts w:ascii="TimesNewRomanPSMT" w:hAnsi="TimesNewRomanPSMT"/>
          <w:color w:val="000000"/>
          <w:sz w:val="24"/>
          <w:szCs w:val="24"/>
        </w:rPr>
      </w:pPr>
    </w:p>
    <w:p w14:paraId="418CD9CD" w14:textId="77777777" w:rsidR="001F2684" w:rsidRPr="001F2684" w:rsidRDefault="001F2684" w:rsidP="001F2684">
      <w:pPr>
        <w:ind w:left="-567"/>
        <w:rPr>
          <w:rFonts w:ascii="TimesNewRomanPSMT" w:hAnsi="TimesNewRomanPSMT"/>
          <w:color w:val="000000"/>
          <w:sz w:val="24"/>
          <w:szCs w:val="24"/>
        </w:rPr>
      </w:pPr>
      <w:r w:rsidRPr="001F2684">
        <w:rPr>
          <w:rFonts w:ascii="TimesNewRomanPSMT" w:hAnsi="TimesNewRomanPSMT"/>
          <w:color w:val="000000"/>
          <w:sz w:val="24"/>
          <w:szCs w:val="24"/>
        </w:rPr>
        <w:t>Расчетные характеристики концентраций загрязнений в дождевых сточных водах</w:t>
      </w:r>
      <w:r w:rsidRPr="001F2684">
        <w:rPr>
          <w:rFonts w:ascii="TimesNewRomanPSMT" w:hAnsi="TimesNewRomanPSMT"/>
          <w:color w:val="000000"/>
        </w:rPr>
        <w:br/>
      </w:r>
      <w:r w:rsidRPr="001F2684">
        <w:rPr>
          <w:rFonts w:ascii="TimesNewRomanPSMT" w:hAnsi="TimesNewRomanPSMT"/>
          <w:color w:val="000000"/>
          <w:sz w:val="24"/>
          <w:szCs w:val="24"/>
        </w:rPr>
        <w:t>соответствуют также примерным характеристикам дождевых сточных вод по основным показателям загрязнения в соответствии с п.5.1.11 и Таблице 3 «Рекомендаций по расчету систем</w:t>
      </w:r>
      <w:r w:rsidRPr="001F2684">
        <w:rPr>
          <w:rFonts w:ascii="TimesNewRomanPSMT" w:hAnsi="TimesNewRomanPSMT"/>
          <w:color w:val="000000"/>
        </w:rPr>
        <w:t xml:space="preserve"> </w:t>
      </w:r>
      <w:r w:rsidRPr="001F2684">
        <w:rPr>
          <w:rFonts w:ascii="TimesNewRomanPSMT" w:hAnsi="TimesNewRomanPSMT"/>
          <w:color w:val="000000"/>
          <w:sz w:val="24"/>
          <w:szCs w:val="24"/>
        </w:rPr>
        <w:t>сбора, отведения и очистки поверхностного стока с селитебных территорий, площадок предприятий и определению условий выпуска его в водные объекты» ГНЦ РФ ФГУП «НИИ ВОДГЕО» продублированные в п.7.6.4 и Таблице 15 СП 32.13330.2018 «Канализация. Наружные</w:t>
      </w:r>
      <w:r w:rsidRPr="001F2684">
        <w:rPr>
          <w:rFonts w:ascii="TimesNewRomanPSMT" w:hAnsi="TimesNewRomanPSMT"/>
          <w:color w:val="000000"/>
        </w:rPr>
        <w:t xml:space="preserve"> </w:t>
      </w:r>
      <w:r w:rsidRPr="001F2684">
        <w:rPr>
          <w:rFonts w:ascii="TimesNewRomanPSMT" w:hAnsi="TimesNewRomanPSMT"/>
          <w:color w:val="000000"/>
          <w:sz w:val="24"/>
          <w:szCs w:val="24"/>
        </w:rPr>
        <w:t>сети и сооружения».</w:t>
      </w:r>
    </w:p>
    <w:p w14:paraId="3AC4EF7A" w14:textId="77777777" w:rsidR="009E16FB" w:rsidRDefault="00D75C6A" w:rsidP="001F2684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1F2684" w:rsidRPr="001F26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очистки поверхностного стока проектом предусмотрено устройство локальных очистных сооружений поверхностных сточных вод производительностью 80 л/с ЭИ-КЛС-80 производства АО "Экоинжиниринг". </w:t>
      </w:r>
    </w:p>
    <w:p w14:paraId="1F0E824A" w14:textId="16CC092E" w:rsidR="001F2684" w:rsidRDefault="009E16FB" w:rsidP="001F2684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  </w:t>
      </w:r>
      <w:r w:rsidR="001F2684" w:rsidRPr="001F268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комплекте очистки предусматриваются накопительные емкости объемом 40 куб.м ЭИ-ЕА-40 производства АО Экоинжиниринг" и обводная линия очистных сооружений перед сбросом в реку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C88D565" w14:textId="77777777" w:rsidR="00C250F1" w:rsidRDefault="00C250F1" w:rsidP="001F2684">
      <w:pPr>
        <w:spacing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8F5699" w14:textId="331B4813" w:rsidR="009E16FB" w:rsidRDefault="009E16FB" w:rsidP="001F2684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16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Спецификация основных узлов</w:t>
      </w:r>
    </w:p>
    <w:p w14:paraId="3E4441FC" w14:textId="2D0A56A8" w:rsidR="009E16FB" w:rsidRPr="00C250F1" w:rsidRDefault="009E16FB" w:rsidP="009E16FB">
      <w:pPr>
        <w:spacing w:line="240" w:lineRule="auto"/>
        <w:ind w:left="-567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C250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Емкость аккумулирующая 40м3</w:t>
      </w:r>
      <w:r w:rsidR="00A622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 xml:space="preserve"> (2шт)</w:t>
      </w:r>
      <w:r w:rsidRPr="00C250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:</w:t>
      </w:r>
    </w:p>
    <w:p w14:paraId="4F308210" w14:textId="1AC6DB82" w:rsidR="009E16FB" w:rsidRDefault="009E16FB" w:rsidP="009E16FB">
      <w:pPr>
        <w:pStyle w:val="a7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07494790"/>
      <w:bookmarkStart w:id="1" w:name="_Hlk107494304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Корпус из армированного стеклопластика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=2300,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=9900</w:t>
      </w:r>
    </w:p>
    <w:p w14:paraId="59DFC352" w14:textId="2FD2EB68" w:rsidR="009E16FB" w:rsidRDefault="009E16FB" w:rsidP="009E16FB">
      <w:pPr>
        <w:pStyle w:val="a7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_Hlk107494820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Технический колодец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=600/1000,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=2360</w:t>
      </w:r>
      <w:r w:rsidR="00CD55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bookmarkEnd w:id="2"/>
    <w:p w14:paraId="499DD4C4" w14:textId="0E66EC4B" w:rsidR="00CD55F5" w:rsidRDefault="00CD55F5" w:rsidP="009E16FB">
      <w:pPr>
        <w:pStyle w:val="a7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Подводящий, отводящий патрубок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400</w:t>
      </w:r>
    </w:p>
    <w:p w14:paraId="1D83C394" w14:textId="69CAED19" w:rsidR="00CD55F5" w:rsidRDefault="00CD55F5" w:rsidP="009E16FB">
      <w:pPr>
        <w:pStyle w:val="a7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стационарной лестницы для обслуживания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=4200 (стеклопластик, нержавейка)</w:t>
      </w:r>
    </w:p>
    <w:p w14:paraId="531FC4BB" w14:textId="25D55E70" w:rsidR="00CD55F5" w:rsidRDefault="00CD55F5" w:rsidP="00CD55F5">
      <w:pPr>
        <w:pStyle w:val="a7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Наличие откидной крышки у колодца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CD55F5">
        <w:rPr>
          <w:rFonts w:ascii="Times New Roman" w:eastAsia="Times New Roman" w:hAnsi="Times New Roman" w:cs="Times New Roman"/>
          <w:sz w:val="24"/>
          <w:szCs w:val="24"/>
          <w:lang w:eastAsia="ru-RU"/>
        </w:rPr>
        <w:t>=600</w:t>
      </w:r>
    </w:p>
    <w:bookmarkEnd w:id="1"/>
    <w:p w14:paraId="7CE22EB0" w14:textId="77777777" w:rsidR="00CD55F5" w:rsidRDefault="00CD55F5" w:rsidP="00CD55F5">
      <w:pPr>
        <w:pStyle w:val="a7"/>
        <w:spacing w:line="240" w:lineRule="auto"/>
        <w:ind w:left="-20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5D01FF" w14:textId="7473B0AF" w:rsidR="00CD55F5" w:rsidRPr="00C250F1" w:rsidRDefault="00CD55F5" w:rsidP="00CD55F5">
      <w:pPr>
        <w:pStyle w:val="a7"/>
        <w:spacing w:line="240" w:lineRule="auto"/>
        <w:ind w:left="-567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</w:pPr>
      <w:r w:rsidRPr="00C250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Комплексные очистные сооружения поверхностных сточных вод</w:t>
      </w:r>
      <w:r w:rsidR="00A622D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 xml:space="preserve"> (2шт)</w:t>
      </w:r>
      <w:r w:rsidRPr="00C250F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 xml:space="preserve">: </w:t>
      </w:r>
    </w:p>
    <w:p w14:paraId="2A0AFA98" w14:textId="77777777" w:rsidR="00CD55F5" w:rsidRPr="00E25A02" w:rsidRDefault="00CD55F5" w:rsidP="00CD55F5">
      <w:pPr>
        <w:pStyle w:val="a7"/>
        <w:spacing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88DEBA" w14:textId="4CD61448" w:rsidR="00CD55F5" w:rsidRDefault="00E25A02" w:rsidP="00E25A02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 стеклопластик, изготовлен с использованием полиэфирных смол и стеклоармирующих материалов.</w:t>
      </w:r>
    </w:p>
    <w:p w14:paraId="3F9F5E81" w14:textId="39E935D3" w:rsidR="00E25A02" w:rsidRDefault="00E25A02" w:rsidP="00E25A02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комплексе объединены 3 ступени очистных сооружений в одном корпусе: отсек пескомаслоотделителя с двойной камерой, отсек нефтеотделителя, сорбционный отсек.  </w:t>
      </w:r>
    </w:p>
    <w:p w14:paraId="42C2ABB4" w14:textId="363DAA81" w:rsidR="00E25A02" w:rsidRDefault="00E25A02" w:rsidP="00E25A02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Между камерами пескоотделителя и бензомаслоотделителя </w:t>
      </w:r>
      <w:r w:rsidR="00E44B0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дополнительный фильтр из тонкослойного ПВХ</w:t>
      </w:r>
    </w:p>
    <w:p w14:paraId="76C2DAD2" w14:textId="3837FC4D" w:rsidR="00E44B06" w:rsidRDefault="00E44B06" w:rsidP="00E25A02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нефтеотделителе предусмотрены губчатые фильтры</w:t>
      </w:r>
    </w:p>
    <w:p w14:paraId="56D6DFC7" w14:textId="50EAE903" w:rsidR="00E44B06" w:rsidRDefault="00E44B06" w:rsidP="00E25A02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сорбционном отсеке – алюмосиликатный сорбент</w:t>
      </w:r>
    </w:p>
    <w:p w14:paraId="72857367" w14:textId="52464DE6" w:rsidR="00E44B06" w:rsidRDefault="00E44B06" w:rsidP="00E44B06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Корпус из армированного стеклопластика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=3000,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=11300</w:t>
      </w:r>
    </w:p>
    <w:p w14:paraId="7D0A967A" w14:textId="7771B286" w:rsidR="00E44B06" w:rsidRPr="00E44B06" w:rsidRDefault="00E44B06" w:rsidP="00E44B06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B0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колодец d=1000, h=2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700 – 3шт</w:t>
      </w:r>
      <w:r w:rsidRPr="00E44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B0ABF87" w14:textId="72EC21B5" w:rsidR="00E44B06" w:rsidRPr="00E44B06" w:rsidRDefault="00E44B06" w:rsidP="00E44B06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B0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колодец d=600, h=2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700 – 1шт</w:t>
      </w:r>
      <w:r w:rsidRPr="00E44B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97C3194" w14:textId="73B58F87" w:rsidR="00E44B06" w:rsidRPr="00E44B06" w:rsidRDefault="00E44B06" w:rsidP="00E44B06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4B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Подводящий, отводящий патрубок DN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350</w:t>
      </w:r>
    </w:p>
    <w:p w14:paraId="5EF9EC75" w14:textId="28EAF536" w:rsidR="00E44B06" w:rsidRDefault="00C250F1" w:rsidP="00E25A02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Лестница стационарная для обслуживания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=5450 – 2шт</w:t>
      </w:r>
    </w:p>
    <w:p w14:paraId="2D9D1DAA" w14:textId="096B2EFC" w:rsidR="00C250F1" w:rsidRDefault="00C250F1" w:rsidP="00C250F1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Коалесцентный модуль – 2 комплекта</w:t>
      </w:r>
    </w:p>
    <w:p w14:paraId="6FF62CF2" w14:textId="5574FBD2" w:rsidR="00C250F1" w:rsidRDefault="00C250F1" w:rsidP="00C250F1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Губчатый фильтр – 1 комплект</w:t>
      </w:r>
    </w:p>
    <w:p w14:paraId="03ED9A28" w14:textId="3237EAF3" w:rsidR="00C250F1" w:rsidRPr="00C250F1" w:rsidRDefault="00C250F1" w:rsidP="00C250F1">
      <w:pPr>
        <w:pStyle w:val="a7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Сорбен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RX-Sorb</w:t>
      </w:r>
    </w:p>
    <w:sectPr w:rsidR="00C250F1" w:rsidRPr="00C250F1" w:rsidSect="001F2684">
      <w:pgSz w:w="11906" w:h="16838"/>
      <w:pgMar w:top="284" w:right="850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8BD6D" w14:textId="77777777" w:rsidR="00B55E2C" w:rsidRDefault="00B55E2C" w:rsidP="00B55E2C">
      <w:pPr>
        <w:spacing w:after="0" w:line="240" w:lineRule="auto"/>
      </w:pPr>
      <w:r>
        <w:separator/>
      </w:r>
    </w:p>
  </w:endnote>
  <w:endnote w:type="continuationSeparator" w:id="0">
    <w:p w14:paraId="23136805" w14:textId="77777777" w:rsidR="00B55E2C" w:rsidRDefault="00B55E2C" w:rsidP="00B5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1A31F" w14:textId="77777777" w:rsidR="00B55E2C" w:rsidRDefault="00B55E2C" w:rsidP="00B55E2C">
      <w:pPr>
        <w:spacing w:after="0" w:line="240" w:lineRule="auto"/>
      </w:pPr>
      <w:r>
        <w:separator/>
      </w:r>
    </w:p>
  </w:footnote>
  <w:footnote w:type="continuationSeparator" w:id="0">
    <w:p w14:paraId="7D795FBF" w14:textId="77777777" w:rsidR="00B55E2C" w:rsidRDefault="00B55E2C" w:rsidP="00B55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5D2"/>
    <w:multiLevelType w:val="hybridMultilevel"/>
    <w:tmpl w:val="E16683F6"/>
    <w:lvl w:ilvl="0" w:tplc="0BEEF4E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D46796"/>
    <w:multiLevelType w:val="hybridMultilevel"/>
    <w:tmpl w:val="569E438E"/>
    <w:lvl w:ilvl="0" w:tplc="F7FAEE8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B620F35"/>
    <w:multiLevelType w:val="hybridMultilevel"/>
    <w:tmpl w:val="3F309916"/>
    <w:lvl w:ilvl="0" w:tplc="CAACCB1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107044806">
    <w:abstractNumId w:val="0"/>
  </w:num>
  <w:num w:numId="2" w16cid:durableId="777456162">
    <w:abstractNumId w:val="1"/>
  </w:num>
  <w:num w:numId="3" w16cid:durableId="1181162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02"/>
    <w:rsid w:val="0004222D"/>
    <w:rsid w:val="001F2684"/>
    <w:rsid w:val="00220842"/>
    <w:rsid w:val="0043285A"/>
    <w:rsid w:val="00664AA7"/>
    <w:rsid w:val="009E16FB"/>
    <w:rsid w:val="009F63FD"/>
    <w:rsid w:val="00A622D5"/>
    <w:rsid w:val="00B121F3"/>
    <w:rsid w:val="00B25702"/>
    <w:rsid w:val="00B55E2C"/>
    <w:rsid w:val="00C250F1"/>
    <w:rsid w:val="00CD0281"/>
    <w:rsid w:val="00CD55F5"/>
    <w:rsid w:val="00D75C6A"/>
    <w:rsid w:val="00D76284"/>
    <w:rsid w:val="00DD5D84"/>
    <w:rsid w:val="00E25A02"/>
    <w:rsid w:val="00E44B06"/>
    <w:rsid w:val="00E9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B701"/>
  <w15:chartTrackingRefBased/>
  <w15:docId w15:val="{DF29AEA0-790D-478F-AE88-EBF2666B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5E2C"/>
  </w:style>
  <w:style w:type="paragraph" w:styleId="a5">
    <w:name w:val="footer"/>
    <w:basedOn w:val="a"/>
    <w:link w:val="a6"/>
    <w:uiPriority w:val="99"/>
    <w:unhideWhenUsed/>
    <w:rsid w:val="00B55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5E2C"/>
  </w:style>
  <w:style w:type="character" w:customStyle="1" w:styleId="fontstyle01">
    <w:name w:val="fontstyle01"/>
    <w:basedOn w:val="a0"/>
    <w:rsid w:val="001F2684"/>
    <w:rPr>
      <w:rFonts w:ascii="ISOCPEUR" w:hAnsi="ISOCPEUR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9E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Левин Константин Владимирович</dc:creator>
  <cp:keywords/>
  <dc:description/>
  <cp:lastModifiedBy>Левин Константин Владимирович</cp:lastModifiedBy>
  <cp:revision>8</cp:revision>
  <dcterms:created xsi:type="dcterms:W3CDTF">2022-06-30T06:56:00Z</dcterms:created>
  <dcterms:modified xsi:type="dcterms:W3CDTF">2022-06-30T12:31:00Z</dcterms:modified>
</cp:coreProperties>
</file>