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1"/>
        <w:keepLines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36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INTRODUÇÃO</w:t>
      </w:r>
    </w:p>
    <w:p w:rsidR="00000000" w:rsidDel="00000000" w:rsidP="00000000" w:rsidRDefault="00000000" w:rsidRPr="00000000" w14:paraId="0000000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70" w:firstLine="0"/>
        <w:rPr>
          <w:rFonts w:ascii="Calibri" w:cs="Calibri" w:eastAsia="Calibri" w:hAnsi="Calibri"/>
          <w:color w:val="2f5496"/>
          <w:sz w:val="22"/>
          <w:szCs w:val="22"/>
        </w:rPr>
      </w:pPr>
      <w:bookmarkStart w:colFirst="0" w:colLast="0" w:name="_heading=h.j2ce5qtrg9m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67" w:lineRule="auto"/>
        <w:ind w:left="-360" w:right="-465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Simetrik INC. e todas as suas filiais e/ou subsidiárias, presentes e/ou futuras (doravante referidas como "A Empresa"), reconhecendo a importância de uma adequada gestão da informação, comprometeu-se com a implementação de um Sistema de Gestão de Segurança da Informação e Cibersegurança, buscando estabelecer um quadro de confiança no exercício de seus deveres com seus colaboradores e terceiros, tudo enquadrado no estrito cumprimento das leis, seguindo padrões internacionais e em conformidade com a missão e visão da empresa. 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-360" w:right="-465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Política de Segurança, Cibersegurança e Privacidade da Informação é a declaração geral que representa a posição da administração da Empresa em relação à proteção de todos os ativos, Colaboradores (funcionários-contratados) e terceiros que sustentam os processos da empresa e apoiam a implementação do Sistema de Gestão de Segurança da Informação e Cibersegurança, por meio da geração e publicação das suas políticas, procedimentos e demais documentos, bem como pela atribuição de responsabilidades gerais e específicas para a gestão da segurança da informação e cibersegurança.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-360" w:right="-465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7" w:lineRule="auto"/>
        <w:ind w:left="-360" w:right="-465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Os papéis são necessários dentro da organização para fornecer responsabilidades claras e definidas, bem como para entender como a informação pode ser protegida, e estão detalhadamente descritos em seu respectivo documento de perfil de cargo.</w:t>
      </w:r>
    </w:p>
    <w:p w:rsidR="00000000" w:rsidDel="00000000" w:rsidP="00000000" w:rsidRDefault="00000000" w:rsidRPr="00000000" w14:paraId="00000007">
      <w:pPr>
        <w:keepNext w:val="1"/>
        <w:keepLines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360"/>
        <w:rPr>
          <w:rFonts w:ascii="Calibri" w:cs="Calibri" w:eastAsia="Calibri" w:hAnsi="Calibri"/>
          <w:b w:val="1"/>
        </w:rPr>
      </w:pPr>
      <w:bookmarkStart w:colFirst="0" w:colLast="0" w:name="_heading=h.mye6jqcflmgz" w:id="1"/>
      <w:bookmarkEnd w:id="1"/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OBJETIVO</w:t>
      </w:r>
      <w:r w:rsidDel="00000000" w:rsidR="00000000" w:rsidRPr="00000000">
        <w:rPr>
          <w:rFonts w:ascii="Calibri" w:cs="Calibri" w:eastAsia="Calibri" w:hAnsi="Calibri"/>
          <w:color w:val="2f5496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-360" w:right="-465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 esta política, a Empresa tem como objetivo principal reduzir o impacto gerado sobre seus ativos pelos riscos identificados de forma sistemática, a fim de manter um nível de exposição que permita garantir a integridade, confidencialidade e disponibilidade da informação, de acordo com as necessidades dos diferentes grupos de interesse identificados. 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-360" w:right="-465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7" w:lineRule="auto"/>
        <w:ind w:left="-360" w:right="-465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Os objetivos específicos desta política são: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13" w:lineRule="auto"/>
        <w:ind w:left="90" w:right="-4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Estabelecer as diretrizes gerais relacionadas à segurança da informação e cibersegurança.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lineRule="auto"/>
        <w:ind w:left="90" w:right="-4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Minimizar o risco nas funções mais importantes da Empresa.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13" w:lineRule="auto"/>
        <w:ind w:left="90" w:right="-4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Manter a confiança da Empresa em relação aos seus clientes, investidores e colaboradores (funcionários – contratistas). 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14" w:lineRule="auto"/>
        <w:ind w:left="90" w:right="-4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Apoiar a inovação tecnológica de forma segura e como um valor agregado ao produto. 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lineRule="auto"/>
        <w:ind w:left="90" w:right="-4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Proteger os ativos tecnológicos. 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0" w:right="-4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Fortalecer a cultura de segurança da informação e cibersegurança nos colaboradores (funcionários-contratados), terceiros e clientes da Empresa.</w:t>
      </w:r>
    </w:p>
    <w:p w:rsidR="00000000" w:rsidDel="00000000" w:rsidP="00000000" w:rsidRDefault="00000000" w:rsidRPr="00000000" w14:paraId="0000001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70" w:firstLine="0"/>
        <w:rPr>
          <w:rFonts w:ascii="Calibri" w:cs="Calibri" w:eastAsia="Calibri" w:hAnsi="Calibri"/>
          <w:color w:val="2f5496"/>
          <w:sz w:val="22"/>
          <w:szCs w:val="22"/>
        </w:rPr>
      </w:pPr>
      <w:bookmarkStart w:colFirst="0" w:colLast="0" w:name="_heading=h.3znysh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360"/>
        <w:rPr>
          <w:rFonts w:ascii="Calibri" w:cs="Calibri" w:eastAsia="Calibri" w:hAnsi="Calibri"/>
          <w:b w:val="1"/>
        </w:rPr>
      </w:pPr>
      <w:bookmarkStart w:colFirst="0" w:colLast="0" w:name="_heading=h.yib8p3kent00" w:id="3"/>
      <w:bookmarkEnd w:id="3"/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-5" w:right="42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7" w:lineRule="auto"/>
        <w:ind w:left="-360" w:right="-465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Esta política se aplica a toda a Empresa, seus colaboradores (funcionários - contratados) e terceiros. </w:t>
      </w:r>
    </w:p>
    <w:p w:rsidR="00000000" w:rsidDel="00000000" w:rsidP="00000000" w:rsidRDefault="00000000" w:rsidRPr="00000000" w14:paraId="00000015">
      <w:pPr>
        <w:keepNext w:val="1"/>
        <w:keepLines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360"/>
        <w:rPr>
          <w:rFonts w:ascii="Calibri" w:cs="Calibri" w:eastAsia="Calibri" w:hAnsi="Calibri"/>
          <w:b w:val="1"/>
        </w:rPr>
      </w:pPr>
      <w:bookmarkStart w:colFirst="0" w:colLast="0" w:name="_heading=h.awe0drqjgslf" w:id="4"/>
      <w:bookmarkEnd w:id="4"/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OBJETIVOS DE SEGURANÇA DA INFORMAÇÃO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7" w:lineRule="auto"/>
        <w:ind w:left="-360" w:right="-465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Empresa define os seguintes objetivos: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0" w:right="-4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Gerenciar os riscos de segurança da informação e cibersegurança para mantê-los em níveis aceitáveis, garantindo que a estratégia, políticas, normas, soluções e recursos estejam alinhados com os objetivos comerciais e sejam congruentes com a regulamentação, legal e/ou contratual. 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0" w:right="-4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Minimizar os riscos extremos e elevados de Segurança da Informação e Cibersegurança.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0" w:right="-4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Gerenciar as vulnerabilidades que surjam na plataforma tecnológica.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0" w:right="-4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Controlar e prevenir os incidentes de Segurança da Informação e Cibersegurança.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0" w:right="-4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Construir uma cultura de segurança da informação e cibersegurança dentro da Empresa.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0" w:right="-4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Manter a melhoria contínua do SGSI através da gestão e/ou atenção oportuna e eficaz na execução e definição do controle interno e na gestão dos planos de ação.</w:t>
      </w:r>
    </w:p>
    <w:p w:rsidR="00000000" w:rsidDel="00000000" w:rsidP="00000000" w:rsidRDefault="00000000" w:rsidRPr="00000000" w14:paraId="0000001E">
      <w:pPr>
        <w:widowControl w:val="0"/>
        <w:tabs>
          <w:tab w:val="left" w:leader="none" w:pos="8505"/>
        </w:tabs>
        <w:spacing w:after="0" w:before="59" w:line="240" w:lineRule="auto"/>
        <w:ind w:left="0" w:hanging="1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360"/>
        <w:rPr>
          <w:rFonts w:ascii="Calibri" w:cs="Calibri" w:eastAsia="Calibri" w:hAnsi="Calibri"/>
          <w:b w:val="1"/>
        </w:rPr>
      </w:pPr>
      <w:bookmarkStart w:colFirst="0" w:colLast="0" w:name="_heading=h.g76okjyb88cb" w:id="5"/>
      <w:bookmarkEnd w:id="5"/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FUNÇÕES E 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right="-465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-360" w:right="-465" w:firstLine="0"/>
        <w:rPr>
          <w:rFonts w:ascii="Roboto" w:cs="Roboto" w:eastAsia="Roboto" w:hAnsi="Roboto"/>
          <w:b w:val="1"/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As responsabilidades associadas a cada função identificada no Sistema de Gestão de Segurança da Informação e Cibersegurança estão definidas na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SI-PLT-002 - Política de Funções e Responsabilidades em Segurança, Cibersegurança e Privacidade da Informação.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360"/>
        <w:rPr>
          <w:rFonts w:ascii="Calibri" w:cs="Calibri" w:eastAsia="Calibri" w:hAnsi="Calibri"/>
          <w:b w:val="1"/>
        </w:rPr>
      </w:pPr>
      <w:bookmarkStart w:colFirst="0" w:colLast="0" w:name="_heading=h.l0mw5bdj9v7o" w:id="6"/>
      <w:bookmarkEnd w:id="6"/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POLÍTICA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7" w:lineRule="auto"/>
        <w:ind w:left="-360" w:right="-465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Através desta política geral, assim como do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SI-MA-003 - Manual de Políticas de Segurança e Privacidade da Informação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ou qualquer outra política, a Empresa se compromete a cumprir as seguintes diretrizes: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0" w:right="-4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Definir, implementar, operar, manter e melhorar de forma contínua o Sistema de Gestão de Segurança da Informação e Cibersegurança, baseado em diretrizes claras, adaptadas às necessidades do negócio e aos requisitos regulatórios que se aplicam à sua natureza.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0" w:right="-4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Medir o cumprimento dos Objetivos de Segurança e Cibersegurança definidos.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0" w:right="-4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Garantir o cumprimento das obrigações legais, regulatórias e contratuais estabelecidas.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0" w:right="-4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Verificar que as responsabilidades em relação à Segurança da Informação e Cibersegurança sejam definidas, compartilhadas, publicadas e aceitas por cada um dos colaboradores (funcionários - contratistas) ou terceiros.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0" w:right="-4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Proteger a informação criada, processada, transmitida ou guardada pelos seus processos de negócio, com o objetivo de minimizar impactos financeiros, operacionais ou legais devido a um uso incorreto dela. Para isso, é fundamental aplicar controles de acordo com a classificação da informação da sua propriedade ou sob custódia.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0" w:right="-4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Proteger a informação da Empresa contra ameaças originadas por parte dos colaboradores (funcionários - contratistas) e terceiros.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0" w:right="-4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Controlar a operação dos seus processos de negócio garantindo a segurança dos recursos tecnológicos e das redes de dados.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0" w:right="-4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Implementar controle de acesso à informação, sistemas e recursos de rede.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0" w:right="-4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Garantir que a segurança seja parte integral do ciclo de vida dos sistemas de informação.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0" w:right="-4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Garantir uma gestão adequada dos eventos de segurança, cibersegurança e das vulnerabilidades associadas aos sistemas de informação, para melhorar a efetividade do modelo de segurança e cibersegurança.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0" w:right="-4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Garantir a disponibilidade dos seus processos de negócio e a continuidade da sua operação com base no impacto que os eventos podem gerar.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-360" w:right="-465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7" w:lineRule="auto"/>
        <w:ind w:left="-360" w:right="-465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Esta política, assim como as demais políticas definidas para o SGSI, deverão ser sujeitas a revisão e atualização anualmente ou quando considerado necessário em resposta a uma requisição interna, externa ou regulatória. </w:t>
      </w:r>
    </w:p>
    <w:p w:rsidR="00000000" w:rsidDel="00000000" w:rsidP="00000000" w:rsidRDefault="00000000" w:rsidRPr="00000000" w14:paraId="00000032">
      <w:pPr>
        <w:keepNext w:val="1"/>
        <w:keepLines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360"/>
        <w:rPr>
          <w:rFonts w:ascii="Calibri" w:cs="Calibri" w:eastAsia="Calibri" w:hAnsi="Calibri"/>
          <w:b w:val="1"/>
        </w:rPr>
      </w:pPr>
      <w:bookmarkStart w:colFirst="0" w:colLast="0" w:name="_heading=h.q7es60uenggq" w:id="7"/>
      <w:bookmarkEnd w:id="7"/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GESTÃO DE ALTERAÇÕES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-360" w:right="-465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7" w:lineRule="auto"/>
        <w:ind w:left="-360" w:right="-465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Quando o SGSI receber qualquer modificação relevante, seja em algum dos seus processos, políticas, manuais, matrizes ou guias, deverá ser cumprido o seguinte: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0" w:right="-4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líder do SGSI informará a toda a Empresa sobre a mudança (e a razão dela), através dos canais de comunicação internos.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0" w:right="-4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Cada documento relacionado ao SGSI deve conter uma tabela que permita ter controle e acompanhamento das alterações realizadas, incluindo a data da alteração, a pessoa que a autorizou e uma breve descrição dos pontos modificados. Ao fazer uma alteração no conteúdo de cada documento, deve-se deixar um registro no controle de alterações.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0" w:right="-4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aplicável, deve-se modificar as responsabilidades que afetem uma função específica no respectivo perfil da vaga, de modo que as responsabilidades estejam atualizadas dentro do SGSI.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0" w:right="-4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Em caso de que a alteração tenha um grande impacto em um processo dentro da Empresa, será necessário realizar um treinamento ou reintrodução a esse processo para garantir sua compreensão e conformidade. Esse treinamento ou reintrodução será feito de forma esporádica, em um período não superior a 2 semanas após a publicação da alteração, e será feita como uma sessão de treinamento esporádica e adicional às estabelecidas no Cronograma de Capacitação do SGSI, a qual não terá impacto ou afetará o cumprimento das sessões ali estabelecidas.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0" w:right="-4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Como último passo, cada mudança que seja suficientemente significativa ou que modifique algo referenciado no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SI-MA-003 - Manual de Políticas de Segurança e Privacidade da Informação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deverá ser atualizada também neste documento, com o objetivo de mantê-lo completamente atualizado. </w:t>
      </w:r>
    </w:p>
    <w:p w:rsidR="00000000" w:rsidDel="00000000" w:rsidP="00000000" w:rsidRDefault="00000000" w:rsidRPr="00000000" w14:paraId="0000003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70" w:firstLine="0"/>
        <w:rPr>
          <w:rFonts w:ascii="Calibri" w:cs="Calibri" w:eastAsia="Calibri" w:hAnsi="Calibri"/>
          <w:b w:val="1"/>
          <w:sz w:val="22"/>
          <w:szCs w:val="22"/>
        </w:rPr>
      </w:pPr>
      <w:bookmarkStart w:colFirst="0" w:colLast="0" w:name="_heading=h.gavgdpaqpv7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keepLines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360"/>
        <w:rPr>
          <w:rFonts w:ascii="Calibri" w:cs="Calibri" w:eastAsia="Calibri" w:hAnsi="Calibri"/>
          <w:b w:val="1"/>
        </w:rPr>
      </w:pPr>
      <w:bookmarkStart w:colFirst="0" w:colLast="0" w:name="_heading=h.jp83pawy3sk5" w:id="9"/>
      <w:bookmarkEnd w:id="9"/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GESTÃO DE CAPACIDADES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7" w:lineRule="auto"/>
        <w:ind w:left="-360" w:right="-465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 o objetivo de garantir a disponibilidade do produto, é necessário considerar que: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7" w:before="0" w:line="260" w:lineRule="auto"/>
        <w:ind w:left="360" w:right="-465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recursos de processamento e armazenamento devem ter capacidades adequadas para manter a disponibilidade do produto.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0" w:right="-4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Os serviços utilizados para o processamento de dados dentro do produto devem ter a capacidade de auto escalar conforme a demanda de recursos apresentada.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right="-4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0" w:right="-4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Deve-se realizar um monitoramento contínuo do desempenho e da disponibilidade dos recursos necessários para o funcionamento correto do produto.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right="-48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90" w:right="-48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Adicionalmente, deve-se contar, a todo momento, com os recursos humanos necessários para o funcionamento e escalabilidade do produto. Os mencionados recursos humanos devem ser planejados com antecedência para grandes projetos ou alterações, garantindo sempre a disponibilidade dos serviços da Empresa para seus clientes. 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right="-480" w:firstLine="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360"/>
        <w:rPr>
          <w:rFonts w:ascii="Calibri" w:cs="Calibri" w:eastAsia="Calibri" w:hAnsi="Calibri"/>
          <w:b w:val="1"/>
        </w:rPr>
      </w:pPr>
      <w:bookmarkStart w:colFirst="0" w:colLast="0" w:name="_heading=h.124rtpbkdlny" w:id="10"/>
      <w:bookmarkEnd w:id="10"/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INTELIGÊNCIA DE AMEAÇAS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keepLines w:val="1"/>
        <w:spacing w:after="200" w:lineRule="auto"/>
        <w:ind w:left="-36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Serão realizadas análises das ameaças em cibersegurança com frequência mensal e será levado um registro, juntamente com os respectivos planos de ação (se aplicável).</w:t>
      </w:r>
    </w:p>
    <w:p w:rsidR="00000000" w:rsidDel="00000000" w:rsidP="00000000" w:rsidRDefault="00000000" w:rsidRPr="00000000" w14:paraId="0000004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70" w:firstLine="0"/>
        <w:rPr>
          <w:rFonts w:ascii="Calibri" w:cs="Calibri" w:eastAsia="Calibri" w:hAnsi="Calibri"/>
          <w:color w:val="2f5496"/>
          <w:sz w:val="22"/>
          <w:szCs w:val="22"/>
        </w:rPr>
      </w:pPr>
      <w:bookmarkStart w:colFirst="0" w:colLast="0" w:name="_heading=h.ug68lbhsld8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360"/>
        <w:rPr>
          <w:rFonts w:ascii="Calibri" w:cs="Calibri" w:eastAsia="Calibri" w:hAnsi="Calibri"/>
          <w:b w:val="1"/>
        </w:rPr>
      </w:pPr>
      <w:bookmarkStart w:colFirst="0" w:colLast="0" w:name="_heading=h.agni6381l3hu" w:id="12"/>
      <w:bookmarkEnd w:id="12"/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SEGURANÇA EM PROJETOS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rFonts w:ascii="Calibri" w:cs="Calibri" w:eastAsia="Calibri" w:hAnsi="Calibri"/>
          <w:color w:val="2f5496"/>
          <w:sz w:val="22"/>
          <w:szCs w:val="22"/>
        </w:rPr>
      </w:pPr>
      <w:bookmarkStart w:colFirst="0" w:colLast="0" w:name="_heading=h.blu0i9wydwq1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7" w:lineRule="auto"/>
        <w:ind w:left="-360" w:right="-465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Todos os projetos desenvolvidos no âmbito do cumprimento dos objetivos dos Processos da Empresa devem incluir um componente de segurança da informação, que será acompanhado e assessorado pelo Líder de Segurança da Informação ou por quem ele delegar. Os riscos e os objetivos de segurança da informação serão considerados nesses projetos.</w:t>
      </w:r>
    </w:p>
    <w:p w:rsidR="00000000" w:rsidDel="00000000" w:rsidP="00000000" w:rsidRDefault="00000000" w:rsidRPr="00000000" w14:paraId="0000004C">
      <w:pPr>
        <w:keepNext w:val="1"/>
        <w:keepLines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360"/>
        <w:rPr>
          <w:rFonts w:ascii="Calibri" w:cs="Calibri" w:eastAsia="Calibri" w:hAnsi="Calibri"/>
          <w:b w:val="1"/>
        </w:rPr>
      </w:pPr>
      <w:bookmarkStart w:colFirst="0" w:colLast="0" w:name="_heading=h.ke10hlk955v" w:id="14"/>
      <w:bookmarkEnd w:id="14"/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CUMPRIMENTO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70" w:firstLine="0"/>
        <w:rPr>
          <w:rFonts w:ascii="Calibri" w:cs="Calibri" w:eastAsia="Calibri" w:hAnsi="Calibri"/>
          <w:sz w:val="22"/>
          <w:szCs w:val="22"/>
        </w:rPr>
      </w:pPr>
      <w:bookmarkStart w:colFirst="0" w:colLast="0" w:name="_heading=h.5nyukmfwut1z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367" w:lineRule="auto"/>
        <w:ind w:left="-360" w:right="-465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11.1 MEDIÇÃO DE CUMPRIMENTO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7" w:lineRule="auto"/>
        <w:ind w:left="-360" w:right="-465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Ao aceitar esta política, os colaboradores (funcionários - contratistas) da Companhia se comprometem a cuidar do cumprimento desta política. Qualquer pessoa pode oferecer feedback, auditar e informar a equipe de Segurança da Informação no caso de descumprimento desta política.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7" w:lineRule="auto"/>
        <w:ind w:left="-360" w:right="-465" w:firstLine="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11.2 EXCEÇÕES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7" w:lineRule="auto"/>
        <w:ind w:left="-360" w:right="-465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Qualquer exceção a esta política deve ser aprovada pela equipe de Segurança da Informação.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7" w:lineRule="auto"/>
        <w:ind w:left="-360" w:right="-465" w:firstLine="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11.3 NÃO CUMPRIMENTO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7" w:lineRule="auto"/>
        <w:ind w:left="-360" w:right="-465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não cumprimento desta política acarretará as consequências legais aplicáveis de acordo com os regulamentos da Empresa, incluindo o estabelecido nas normas pertinentes do Governo Nacional e Territorial em relação à Segurança e Privacidade da Informação.</w:t>
      </w:r>
    </w:p>
    <w:p w:rsidR="00000000" w:rsidDel="00000000" w:rsidP="00000000" w:rsidRDefault="00000000" w:rsidRPr="00000000" w14:paraId="00000054">
      <w:pPr>
        <w:spacing w:line="259" w:lineRule="auto"/>
        <w:ind w:left="-360" w:right="0" w:firstLine="0"/>
        <w:jc w:val="left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59" w:lineRule="auto"/>
        <w:ind w:left="-360" w:right="0" w:firstLine="0"/>
        <w:jc w:val="left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59" w:lineRule="auto"/>
        <w:ind w:left="-360" w:right="0" w:firstLine="0"/>
        <w:jc w:val="left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59" w:lineRule="auto"/>
        <w:ind w:left="-360" w:right="0" w:firstLine="0"/>
        <w:jc w:val="left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CONTROLE DE ALTERAÇÕES</w:t>
      </w:r>
    </w:p>
    <w:p w:rsidR="00000000" w:rsidDel="00000000" w:rsidP="00000000" w:rsidRDefault="00000000" w:rsidRPr="00000000" w14:paraId="00000058">
      <w:pPr>
        <w:spacing w:line="259" w:lineRule="auto"/>
        <w:ind w:left="-360" w:right="0" w:firstLine="0"/>
        <w:jc w:val="left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5.0" w:type="dxa"/>
        <w:jc w:val="left"/>
        <w:tblInd w:w="-405.0" w:type="dxa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600"/>
      </w:tblPr>
      <w:tblGrid>
        <w:gridCol w:w="1485"/>
        <w:gridCol w:w="1455"/>
        <w:gridCol w:w="6705"/>
        <w:tblGridChange w:id="0">
          <w:tblGrid>
            <w:gridCol w:w="1485"/>
            <w:gridCol w:w="1455"/>
            <w:gridCol w:w="6705"/>
          </w:tblGrid>
        </w:tblGridChange>
      </w:tblGrid>
      <w:tr>
        <w:trPr>
          <w:cantSplit w:val="0"/>
          <w:trHeight w:val="292" w:hRule="atLeast"/>
          <w:tblHeader w:val="0"/>
        </w:trPr>
        <w:tc>
          <w:tcPr>
            <w:shd w:fill="d9d9d9" w:val="clear"/>
            <w:tcMar>
              <w:top w:w="-44.0" w:type="dxa"/>
              <w:left w:w="-44.0" w:type="dxa"/>
              <w:bottom w:w="-44.0" w:type="dxa"/>
              <w:right w:w="-44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N. VERSÃO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d9d9d9" w:val="clear"/>
            <w:tcMar>
              <w:top w:w="-44.0" w:type="dxa"/>
              <w:left w:w="-44.0" w:type="dxa"/>
              <w:bottom w:w="-44.0" w:type="dxa"/>
              <w:right w:w="-44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DATA</w:t>
            </w:r>
          </w:p>
        </w:tc>
        <w:tc>
          <w:tcPr>
            <w:shd w:fill="d9d9d9" w:val="clear"/>
            <w:tcMar>
              <w:top w:w="-44.0" w:type="dxa"/>
              <w:left w:w="-44.0" w:type="dxa"/>
              <w:bottom w:w="-44.0" w:type="dxa"/>
              <w:right w:w="-44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DESCRIÇÃO</w:t>
            </w:r>
          </w:p>
        </w:tc>
      </w:tr>
      <w:tr>
        <w:trPr>
          <w:cantSplit w:val="1"/>
          <w:trHeight w:val="797" w:hRule="atLeast"/>
          <w:tblHeader w:val="0"/>
        </w:trPr>
        <w:tc>
          <w:tcPr>
            <w:shd w:fill="auto" w:val="clear"/>
            <w:tcMar>
              <w:top w:w="-44.0" w:type="dxa"/>
              <w:left w:w="-44.0" w:type="dxa"/>
              <w:bottom w:w="-44.0" w:type="dxa"/>
              <w:right w:w="-44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004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-44.0" w:type="dxa"/>
              <w:left w:w="-44.0" w:type="dxa"/>
              <w:bottom w:w="-44.0" w:type="dxa"/>
              <w:right w:w="-44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04/03/2022</w:t>
            </w:r>
          </w:p>
        </w:tc>
        <w:tc>
          <w:tcPr>
            <w:shd w:fill="auto" w:val="clear"/>
            <w:tcMar>
              <w:top w:w="-44.0" w:type="dxa"/>
              <w:left w:w="-44.0" w:type="dxa"/>
              <w:bottom w:w="-44.0" w:type="dxa"/>
              <w:right w:w="-44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59" w:lineRule="auto"/>
              <w:ind w:left="90" w:right="135" w:firstLine="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Modificação do item de "Funções e Responsabilidades" para fazer referência à política associada. Inclusão de diretrizes e frequência de revisão das políticas e do termo cibersegurança.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shd w:fill="auto" w:val="clear"/>
            <w:tcMar>
              <w:top w:w="-44.0" w:type="dxa"/>
              <w:left w:w="-44.0" w:type="dxa"/>
              <w:bottom w:w="-44.0" w:type="dxa"/>
              <w:right w:w="-44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005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-44.0" w:type="dxa"/>
              <w:left w:w="-44.0" w:type="dxa"/>
              <w:bottom w:w="-44.0" w:type="dxa"/>
              <w:right w:w="-44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25/01/2023</w:t>
            </w:r>
          </w:p>
        </w:tc>
        <w:tc>
          <w:tcPr>
            <w:shd w:fill="auto" w:val="clear"/>
            <w:tcMar>
              <w:top w:w="-44.0" w:type="dxa"/>
              <w:left w:w="-44.0" w:type="dxa"/>
              <w:bottom w:w="-44.0" w:type="dxa"/>
              <w:right w:w="-44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59" w:lineRule="auto"/>
              <w:ind w:left="0" w:right="135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O numeral 9 "Segurança em Projetos" foi incluído e realizada uma atualização geral da política. </w:t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shd w:fill="auto" w:val="clear"/>
            <w:tcMar>
              <w:top w:w="-44.0" w:type="dxa"/>
              <w:left w:w="-44.0" w:type="dxa"/>
              <w:bottom w:w="-44.0" w:type="dxa"/>
              <w:right w:w="-44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006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-44.0" w:type="dxa"/>
              <w:left w:w="-44.0" w:type="dxa"/>
              <w:bottom w:w="-44.0" w:type="dxa"/>
              <w:right w:w="-44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15/12/2023</w:t>
            </w:r>
          </w:p>
        </w:tc>
        <w:tc>
          <w:tcPr>
            <w:shd w:fill="auto" w:val="clear"/>
            <w:tcMar>
              <w:top w:w="-44.0" w:type="dxa"/>
              <w:left w:w="-44.0" w:type="dxa"/>
              <w:bottom w:w="-44.0" w:type="dxa"/>
              <w:right w:w="-44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59" w:lineRule="auto"/>
              <w:ind w:left="0" w:right="135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Revisão e atualização geral do documento.</w:t>
            </w:r>
          </w:p>
        </w:tc>
      </w:tr>
    </w:tbl>
    <w:p w:rsidR="00000000" w:rsidDel="00000000" w:rsidP="00000000" w:rsidRDefault="00000000" w:rsidRPr="00000000" w14:paraId="00000065">
      <w:pPr>
        <w:spacing w:after="32" w:line="259" w:lineRule="auto"/>
        <w:ind w:left="0" w:right="0" w:hanging="27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left"/>
        <w:tblInd w:w="-444.0" w:type="dxa"/>
        <w:tblBorders>
          <w:top w:color="666666" w:space="0" w:sz="8" w:val="single"/>
          <w:left w:color="666666" w:space="0" w:sz="8" w:val="single"/>
          <w:bottom w:color="666666" w:space="0" w:sz="8" w:val="single"/>
          <w:right w:color="666666" w:space="0" w:sz="8" w:val="single"/>
          <w:insideH w:color="666666" w:space="0" w:sz="8" w:val="single"/>
          <w:insideV w:color="666666" w:space="0" w:sz="8" w:val="single"/>
        </w:tblBorders>
        <w:tblLayout w:type="fixed"/>
        <w:tblLook w:val="0600"/>
      </w:tblPr>
      <w:tblGrid>
        <w:gridCol w:w="3120"/>
        <w:gridCol w:w="3345"/>
        <w:gridCol w:w="3255"/>
        <w:tblGridChange w:id="0">
          <w:tblGrid>
            <w:gridCol w:w="3120"/>
            <w:gridCol w:w="3345"/>
            <w:gridCol w:w="3255"/>
          </w:tblGrid>
        </w:tblGridChange>
      </w:tblGrid>
      <w:tr>
        <w:trPr>
          <w:cantSplit w:val="1"/>
          <w:trHeight w:val="330" w:hRule="atLeast"/>
          <w:tblHeader w:val="0"/>
        </w:trPr>
        <w:tc>
          <w:tcPr>
            <w:shd w:fill="d9d9d9" w:val="clear"/>
            <w:tcMar>
              <w:top w:w="-44.0" w:type="dxa"/>
              <w:left w:w="-44.0" w:type="dxa"/>
              <w:bottom w:w="-44.0" w:type="dxa"/>
              <w:right w:w="-44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ELABORADO POR:</w:t>
            </w:r>
          </w:p>
        </w:tc>
        <w:tc>
          <w:tcPr>
            <w:shd w:fill="d9d9d9" w:val="clear"/>
            <w:tcMar>
              <w:top w:w="-44.0" w:type="dxa"/>
              <w:left w:w="-44.0" w:type="dxa"/>
              <w:bottom w:w="-44.0" w:type="dxa"/>
              <w:right w:w="-44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REVISADO POR:</w:t>
            </w:r>
          </w:p>
        </w:tc>
        <w:tc>
          <w:tcPr>
            <w:shd w:fill="d9d9d9" w:val="clear"/>
            <w:tcMar>
              <w:top w:w="-44.0" w:type="dxa"/>
              <w:left w:w="-44.0" w:type="dxa"/>
              <w:bottom w:w="-44.0" w:type="dxa"/>
              <w:right w:w="-44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APROVADO POR:</w:t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shd w:fill="auto" w:val="clear"/>
            <w:tcMar>
              <w:top w:w="-44.0" w:type="dxa"/>
              <w:left w:w="-44.0" w:type="dxa"/>
              <w:bottom w:w="-44.0" w:type="dxa"/>
              <w:right w:w="-44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9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Nome: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Viviana Parra</w:t>
            </w:r>
          </w:p>
        </w:tc>
        <w:tc>
          <w:tcPr>
            <w:shd w:fill="auto" w:val="clear"/>
            <w:tcMar>
              <w:top w:w="-44.0" w:type="dxa"/>
              <w:left w:w="-44.0" w:type="dxa"/>
              <w:bottom w:w="-44.0" w:type="dxa"/>
              <w:right w:w="-44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9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Nome: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Carlos Ayala</w:t>
            </w:r>
          </w:p>
        </w:tc>
        <w:tc>
          <w:tcPr>
            <w:shd w:fill="auto" w:val="clear"/>
            <w:tcMar>
              <w:top w:w="-44.0" w:type="dxa"/>
              <w:left w:w="-44.0" w:type="dxa"/>
              <w:bottom w:w="-44.0" w:type="dxa"/>
              <w:right w:w="-44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9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Nome: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----</w:t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shd w:fill="auto" w:val="clear"/>
            <w:tcMar>
              <w:top w:w="-44.0" w:type="dxa"/>
              <w:left w:w="-44.0" w:type="dxa"/>
              <w:bottom w:w="-44.0" w:type="dxa"/>
              <w:right w:w="-44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9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Posição: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Cyber Security Engineer</w:t>
            </w:r>
          </w:p>
        </w:tc>
        <w:tc>
          <w:tcPr>
            <w:shd w:fill="auto" w:val="clear"/>
            <w:tcMar>
              <w:top w:w="-44.0" w:type="dxa"/>
              <w:left w:w="-44.0" w:type="dxa"/>
              <w:bottom w:w="-44.0" w:type="dxa"/>
              <w:right w:w="-44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9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Posição: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Information Security Officer</w:t>
            </w:r>
          </w:p>
        </w:tc>
        <w:tc>
          <w:tcPr>
            <w:shd w:fill="auto" w:val="clear"/>
            <w:tcMar>
              <w:top w:w="-44.0" w:type="dxa"/>
              <w:left w:w="-44.0" w:type="dxa"/>
              <w:bottom w:w="-44.0" w:type="dxa"/>
              <w:right w:w="-44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9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Posição: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Comité de Seguridad</w:t>
            </w:r>
          </w:p>
        </w:tc>
      </w:tr>
    </w:tbl>
    <w:p w:rsidR="00000000" w:rsidDel="00000000" w:rsidP="00000000" w:rsidRDefault="00000000" w:rsidRPr="00000000" w14:paraId="0000006F">
      <w:pPr>
        <w:spacing w:after="32" w:line="259" w:lineRule="auto"/>
        <w:ind w:left="0" w:right="0" w:hanging="27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797" w:top="708" w:left="1702" w:right="1649" w:header="720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ind w:hanging="2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ind w:hanging="2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5">
    <w:pPr>
      <w:ind w:left="-1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ind w:left="0" w:right="0" w:firstLine="0"/>
      <w:jc w:val="left"/>
      <w:rPr>
        <w:rFonts w:ascii="Calibri" w:cs="Calibri" w:eastAsia="Calibri" w:hAnsi="Calibri"/>
        <w:sz w:val="22"/>
        <w:szCs w:val="22"/>
      </w:rPr>
    </w:pPr>
    <w:r w:rsidDel="00000000" w:rsidR="00000000" w:rsidRPr="00000000">
      <w:rPr>
        <w:rFonts w:ascii="Calibri" w:cs="Calibri" w:eastAsia="Calibri" w:hAnsi="Calibri"/>
        <w:sz w:val="22"/>
        <w:szCs w:val="22"/>
      </w:rPr>
      <w:pict>
        <v:shape id="PowerPlusWaterMarkObject3" style="position:absolute;width:544.4576479557132pt;height:84.08956984100895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CONFIDENCIAL" style="font-family:&amp;quot;Arial&amp;quot;;font-size:1pt;"/>
        </v:shape>
      </w:pict>
    </w:r>
    <w:r w:rsidDel="00000000" w:rsidR="00000000" w:rsidRPr="00000000">
      <w:rPr>
        <w:rtl w:val="0"/>
      </w:rPr>
    </w:r>
  </w:p>
  <w:tbl>
    <w:tblPr>
      <w:tblStyle w:val="Table3"/>
      <w:tblW w:w="9885.0" w:type="dxa"/>
      <w:jc w:val="center"/>
      <w:tblBorders>
        <w:top w:color="666666" w:space="0" w:sz="4" w:val="single"/>
        <w:left w:color="666666" w:space="0" w:sz="4" w:val="single"/>
        <w:bottom w:color="666666" w:space="0" w:sz="4" w:val="single"/>
        <w:right w:color="666666" w:space="0" w:sz="4" w:val="single"/>
        <w:insideH w:color="666666" w:space="0" w:sz="4" w:val="single"/>
        <w:insideV w:color="666666" w:space="0" w:sz="4" w:val="single"/>
      </w:tblBorders>
      <w:tblLayout w:type="fixed"/>
      <w:tblLook w:val="0000"/>
    </w:tblPr>
    <w:tblGrid>
      <w:gridCol w:w="2145"/>
      <w:gridCol w:w="5460"/>
      <w:gridCol w:w="2280"/>
      <w:tblGridChange w:id="0">
        <w:tblGrid>
          <w:gridCol w:w="2145"/>
          <w:gridCol w:w="5460"/>
          <w:gridCol w:w="2280"/>
        </w:tblGrid>
      </w:tblGridChange>
    </w:tblGrid>
    <w:tr>
      <w:trPr>
        <w:cantSplit w:val="0"/>
        <w:trHeight w:val="319" w:hRule="atLeast"/>
        <w:tblHeader w:val="0"/>
      </w:trPr>
      <w:tc>
        <w:tcPr>
          <w:vMerge w:val="restart"/>
          <w:tcBorders>
            <w:top w:color="666666" w:space="0" w:sz="4" w:val="single"/>
            <w:left w:color="666666" w:space="0" w:sz="4" w:val="single"/>
            <w:right w:color="666666" w:space="0" w:sz="4" w:val="single"/>
          </w:tcBorders>
          <w:tcMar>
            <w:top w:w="-4855.0" w:type="dxa"/>
            <w:left w:w="-4855.0" w:type="dxa"/>
            <w:bottom w:w="-4855.0" w:type="dxa"/>
            <w:right w:w="-4855.0" w:type="dxa"/>
          </w:tcMar>
          <w:vAlign w:val="center"/>
        </w:tcPr>
        <w:p w:rsidR="00000000" w:rsidDel="00000000" w:rsidP="00000000" w:rsidRDefault="00000000" w:rsidRPr="00000000" w14:paraId="00000071">
          <w:pPr>
            <w:tabs>
              <w:tab w:val="center" w:leader="none" w:pos="4419"/>
              <w:tab w:val="right" w:leader="none" w:pos="8838"/>
            </w:tabs>
            <w:ind w:left="0" w:right="0" w:hanging="2"/>
            <w:jc w:val="left"/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  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</w:rPr>
            <w:drawing>
              <wp:inline distB="114300" distT="114300" distL="114300" distR="114300">
                <wp:extent cx="1247775" cy="685800"/>
                <wp:effectExtent b="0" l="0" r="0" t="0"/>
                <wp:docPr id="5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7775" cy="685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666666" w:space="0" w:sz="4" w:val="single"/>
            <w:left w:color="666666" w:space="0" w:sz="4" w:val="single"/>
            <w:right w:color="666666" w:space="0" w:sz="4" w:val="single"/>
          </w:tcBorders>
          <w:shd w:fill="d9d9d9" w:val="clear"/>
          <w:tcMar>
            <w:top w:w="-4855.0" w:type="dxa"/>
            <w:left w:w="-4855.0" w:type="dxa"/>
            <w:bottom w:w="-4855.0" w:type="dxa"/>
            <w:right w:w="-4855.0" w:type="dxa"/>
          </w:tcMar>
          <w:vAlign w:val="center"/>
        </w:tcPr>
        <w:p w:rsidR="00000000" w:rsidDel="00000000" w:rsidP="00000000" w:rsidRDefault="00000000" w:rsidRPr="00000000" w14:paraId="00000072">
          <w:pPr>
            <w:spacing w:line="259" w:lineRule="auto"/>
            <w:ind w:left="27" w:right="0" w:firstLine="0"/>
            <w:jc w:val="center"/>
            <w:rPr>
              <w:rFonts w:ascii="Calibri" w:cs="Calibri" w:eastAsia="Calibri" w:hAnsi="Calibri"/>
              <w:b w:val="1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sz w:val="22"/>
              <w:szCs w:val="22"/>
              <w:rtl w:val="0"/>
            </w:rPr>
            <w:t xml:space="preserve">Information Security</w:t>
          </w:r>
        </w:p>
      </w:tc>
      <w:tc>
        <w:tcPr>
          <w:tcBorders>
            <w:top w:color="666666" w:space="0" w:sz="4" w:val="single"/>
            <w:left w:color="666666" w:space="0" w:sz="4" w:val="single"/>
            <w:bottom w:color="666666" w:space="0" w:sz="4" w:val="single"/>
            <w:right w:color="666666" w:space="0" w:sz="4" w:val="single"/>
          </w:tcBorders>
          <w:tcMar>
            <w:top w:w="-4855.0" w:type="dxa"/>
            <w:left w:w="-4855.0" w:type="dxa"/>
            <w:bottom w:w="-4855.0" w:type="dxa"/>
            <w:right w:w="-4855.0" w:type="dxa"/>
          </w:tcMar>
          <w:vAlign w:val="center"/>
        </w:tcPr>
        <w:p w:rsidR="00000000" w:rsidDel="00000000" w:rsidP="00000000" w:rsidRDefault="00000000" w:rsidRPr="00000000" w14:paraId="0000007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ind w:left="0" w:right="0" w:hanging="2"/>
            <w:jc w:val="left"/>
            <w:rPr>
              <w:rFonts w:ascii="Calibri" w:cs="Calibri" w:eastAsia="Calibri" w:hAnsi="Calibri"/>
              <w:b w:val="1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sz w:val="22"/>
              <w:szCs w:val="22"/>
              <w:rtl w:val="0"/>
            </w:rPr>
            <w:t xml:space="preserve"> Código: SI-PLT-001</w:t>
          </w:r>
        </w:p>
      </w:tc>
    </w:tr>
    <w:tr>
      <w:trPr>
        <w:cantSplit w:val="0"/>
        <w:trHeight w:val="296" w:hRule="atLeast"/>
        <w:tblHeader w:val="0"/>
      </w:trPr>
      <w:tc>
        <w:tcPr>
          <w:vMerge w:val="continue"/>
          <w:tcBorders>
            <w:top w:color="666666" w:space="0" w:sz="4" w:val="single"/>
            <w:left w:color="666666" w:space="0" w:sz="4" w:val="single"/>
            <w:right w:color="666666" w:space="0" w:sz="4" w:val="single"/>
          </w:tcBorders>
          <w:tcMar>
            <w:top w:w="-4855.0" w:type="dxa"/>
            <w:left w:w="-4855.0" w:type="dxa"/>
            <w:bottom w:w="-4855.0" w:type="dxa"/>
            <w:right w:w="-4855.0" w:type="dxa"/>
          </w:tcMar>
          <w:vAlign w:val="center"/>
        </w:tcPr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666666" w:space="0" w:sz="4" w:val="single"/>
            <w:left w:color="666666" w:space="0" w:sz="4" w:val="single"/>
            <w:right w:color="666666" w:space="0" w:sz="4" w:val="single"/>
          </w:tcBorders>
          <w:tcMar>
            <w:top w:w="-4855.0" w:type="dxa"/>
            <w:left w:w="-4855.0" w:type="dxa"/>
            <w:bottom w:w="-4855.0" w:type="dxa"/>
            <w:right w:w="-4855.0" w:type="dxa"/>
          </w:tcMar>
          <w:vAlign w:val="center"/>
        </w:tcPr>
        <w:p w:rsidR="00000000" w:rsidDel="00000000" w:rsidP="00000000" w:rsidRDefault="00000000" w:rsidRPr="00000000" w14:paraId="00000075">
          <w:pPr>
            <w:ind w:left="27" w:right="73" w:firstLine="0"/>
            <w:jc w:val="center"/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sz w:val="22"/>
              <w:szCs w:val="22"/>
              <w:rtl w:val="0"/>
            </w:rPr>
            <w:t xml:space="preserve">POLÍTICA GERAL DE SEGURANÇA, CIBERSEGURANÇA E PRIVACIDADE DA INFORMAÇÃO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666666" w:space="0" w:sz="4" w:val="single"/>
            <w:left w:color="666666" w:space="0" w:sz="4" w:val="single"/>
            <w:bottom w:color="666666" w:space="0" w:sz="4" w:val="single"/>
            <w:right w:color="666666" w:space="0" w:sz="4" w:val="single"/>
          </w:tcBorders>
          <w:tcMar>
            <w:top w:w="-4855.0" w:type="dxa"/>
            <w:left w:w="-4855.0" w:type="dxa"/>
            <w:bottom w:w="-4855.0" w:type="dxa"/>
            <w:right w:w="-4855.0" w:type="dxa"/>
          </w:tcMar>
          <w:vAlign w:val="center"/>
        </w:tcPr>
        <w:p w:rsidR="00000000" w:rsidDel="00000000" w:rsidP="00000000" w:rsidRDefault="00000000" w:rsidRPr="00000000" w14:paraId="0000007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ind w:left="0" w:right="0" w:hanging="2"/>
            <w:jc w:val="left"/>
            <w:rPr>
              <w:rFonts w:ascii="Calibri" w:cs="Calibri" w:eastAsia="Calibri" w:hAnsi="Calibri"/>
              <w:b w:val="1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sz w:val="22"/>
              <w:szCs w:val="22"/>
              <w:rtl w:val="0"/>
            </w:rPr>
            <w:t xml:space="preserve"> Versão: 006</w:t>
          </w:r>
        </w:p>
      </w:tc>
    </w:tr>
    <w:tr>
      <w:trPr>
        <w:cantSplit w:val="0"/>
        <w:trHeight w:val="296" w:hRule="atLeast"/>
        <w:tblHeader w:val="0"/>
      </w:trPr>
      <w:tc>
        <w:tcPr>
          <w:vMerge w:val="continue"/>
          <w:tcBorders>
            <w:top w:color="666666" w:space="0" w:sz="4" w:val="single"/>
            <w:left w:color="666666" w:space="0" w:sz="4" w:val="single"/>
            <w:right w:color="666666" w:space="0" w:sz="4" w:val="single"/>
          </w:tcBorders>
          <w:tcMar>
            <w:top w:w="-4855.0" w:type="dxa"/>
            <w:left w:w="-4855.0" w:type="dxa"/>
            <w:bottom w:w="-4855.0" w:type="dxa"/>
            <w:right w:w="-4855.0" w:type="dxa"/>
          </w:tcMar>
          <w:vAlign w:val="center"/>
        </w:tcPr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666666" w:space="0" w:sz="4" w:val="single"/>
            <w:left w:color="666666" w:space="0" w:sz="4" w:val="single"/>
            <w:right w:color="666666" w:space="0" w:sz="4" w:val="single"/>
          </w:tcBorders>
          <w:tcMar>
            <w:top w:w="-4855.0" w:type="dxa"/>
            <w:left w:w="-4855.0" w:type="dxa"/>
            <w:bottom w:w="-4855.0" w:type="dxa"/>
            <w:right w:w="-4855.0" w:type="dxa"/>
          </w:tcMar>
          <w:vAlign w:val="center"/>
        </w:tcPr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666666" w:space="0" w:sz="4" w:val="single"/>
            <w:left w:color="666666" w:space="0" w:sz="4" w:val="single"/>
            <w:bottom w:color="666666" w:space="0" w:sz="4" w:val="single"/>
            <w:right w:color="666666" w:space="0" w:sz="4" w:val="single"/>
          </w:tcBorders>
          <w:tcMar>
            <w:top w:w="-4855.0" w:type="dxa"/>
            <w:left w:w="-4855.0" w:type="dxa"/>
            <w:bottom w:w="-4855.0" w:type="dxa"/>
            <w:right w:w="-4855.0" w:type="dxa"/>
          </w:tcMar>
          <w:vAlign w:val="center"/>
        </w:tcPr>
        <w:p w:rsidR="00000000" w:rsidDel="00000000" w:rsidP="00000000" w:rsidRDefault="00000000" w:rsidRPr="00000000" w14:paraId="0000007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ind w:left="0" w:right="0" w:hanging="2"/>
            <w:jc w:val="left"/>
            <w:rPr>
              <w:rFonts w:ascii="Calibri" w:cs="Calibri" w:eastAsia="Calibri" w:hAnsi="Calibri"/>
              <w:b w:val="1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sz w:val="22"/>
              <w:szCs w:val="22"/>
              <w:rtl w:val="0"/>
            </w:rPr>
            <w:t xml:space="preserve"> Data: 15/12/2023</w:t>
          </w:r>
        </w:p>
      </w:tc>
    </w:tr>
    <w:tr>
      <w:trPr>
        <w:cantSplit w:val="0"/>
        <w:trHeight w:val="296" w:hRule="atLeast"/>
        <w:tblHeader w:val="0"/>
      </w:trPr>
      <w:tc>
        <w:tcPr>
          <w:vMerge w:val="continue"/>
          <w:tcBorders>
            <w:top w:color="666666" w:space="0" w:sz="4" w:val="single"/>
            <w:left w:color="666666" w:space="0" w:sz="4" w:val="single"/>
            <w:right w:color="666666" w:space="0" w:sz="4" w:val="single"/>
          </w:tcBorders>
          <w:tcMar>
            <w:top w:w="-4855.0" w:type="dxa"/>
            <w:left w:w="-4855.0" w:type="dxa"/>
            <w:bottom w:w="-4855.0" w:type="dxa"/>
            <w:right w:w="-4855.0" w:type="dxa"/>
          </w:tcMar>
          <w:vAlign w:val="center"/>
        </w:tcPr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666666" w:space="0" w:sz="4" w:val="single"/>
            <w:left w:color="666666" w:space="0" w:sz="4" w:val="single"/>
            <w:right w:color="666666" w:space="0" w:sz="4" w:val="single"/>
          </w:tcBorders>
          <w:tcMar>
            <w:top w:w="-4855.0" w:type="dxa"/>
            <w:left w:w="-4855.0" w:type="dxa"/>
            <w:bottom w:w="-4855.0" w:type="dxa"/>
            <w:right w:w="-4855.0" w:type="dxa"/>
          </w:tcMar>
          <w:vAlign w:val="center"/>
        </w:tcPr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666666" w:space="0" w:sz="4" w:val="single"/>
            <w:left w:color="666666" w:space="0" w:sz="4" w:val="single"/>
            <w:bottom w:color="666666" w:space="0" w:sz="4" w:val="single"/>
            <w:right w:color="666666" w:space="0" w:sz="4" w:val="single"/>
          </w:tcBorders>
          <w:tcMar>
            <w:top w:w="-4855.0" w:type="dxa"/>
            <w:left w:w="-4855.0" w:type="dxa"/>
            <w:bottom w:w="-4855.0" w:type="dxa"/>
            <w:right w:w="-4855.0" w:type="dxa"/>
          </w:tcMar>
          <w:vAlign w:val="center"/>
        </w:tcPr>
        <w:p w:rsidR="00000000" w:rsidDel="00000000" w:rsidP="00000000" w:rsidRDefault="00000000" w:rsidRPr="00000000" w14:paraId="0000007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ind w:left="0" w:right="0" w:hanging="2"/>
            <w:jc w:val="left"/>
            <w:rPr>
              <w:rFonts w:ascii="Calibri" w:cs="Calibri" w:eastAsia="Calibri" w:hAnsi="Calibri"/>
              <w:b w:val="1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sz w:val="22"/>
              <w:szCs w:val="22"/>
              <w:rtl w:val="0"/>
            </w:rPr>
            <w:t xml:space="preserve"> Classificação: I</w:t>
          </w:r>
        </w:p>
      </w:tc>
    </w:tr>
    <w:tr>
      <w:trPr>
        <w:cantSplit w:val="0"/>
        <w:trHeight w:val="296" w:hRule="atLeast"/>
        <w:tblHeader w:val="0"/>
      </w:trPr>
      <w:tc>
        <w:tcPr>
          <w:vMerge w:val="continue"/>
          <w:tcBorders>
            <w:top w:color="666666" w:space="0" w:sz="4" w:val="single"/>
            <w:left w:color="666666" w:space="0" w:sz="4" w:val="single"/>
            <w:right w:color="666666" w:space="0" w:sz="4" w:val="single"/>
          </w:tcBorders>
          <w:tcMar>
            <w:top w:w="-4855.0" w:type="dxa"/>
            <w:left w:w="-4855.0" w:type="dxa"/>
            <w:bottom w:w="-4855.0" w:type="dxa"/>
            <w:right w:w="-4855.0" w:type="dxa"/>
          </w:tcMar>
          <w:vAlign w:val="center"/>
        </w:tcPr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666666" w:space="0" w:sz="4" w:val="single"/>
            <w:left w:color="666666" w:space="0" w:sz="4" w:val="single"/>
            <w:right w:color="666666" w:space="0" w:sz="4" w:val="single"/>
          </w:tcBorders>
          <w:tcMar>
            <w:top w:w="-4855.0" w:type="dxa"/>
            <w:left w:w="-4855.0" w:type="dxa"/>
            <w:bottom w:w="-4855.0" w:type="dxa"/>
            <w:right w:w="-4855.0" w:type="dxa"/>
          </w:tcMar>
          <w:vAlign w:val="center"/>
        </w:tcPr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666666" w:space="0" w:sz="4" w:val="single"/>
            <w:left w:color="666666" w:space="0" w:sz="4" w:val="single"/>
            <w:bottom w:color="666666" w:space="0" w:sz="4" w:val="single"/>
            <w:right w:color="666666" w:space="0" w:sz="4" w:val="single"/>
          </w:tcBorders>
          <w:tcMar>
            <w:top w:w="-4855.0" w:type="dxa"/>
            <w:left w:w="-4855.0" w:type="dxa"/>
            <w:bottom w:w="-4855.0" w:type="dxa"/>
            <w:right w:w="-4855.0" w:type="dxa"/>
          </w:tcMar>
          <w:vAlign w:val="center"/>
        </w:tcPr>
        <w:p w:rsidR="00000000" w:rsidDel="00000000" w:rsidP="00000000" w:rsidRDefault="00000000" w:rsidRPr="00000000" w14:paraId="0000007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ind w:left="0" w:right="0" w:hanging="2"/>
            <w:jc w:val="left"/>
            <w:rPr>
              <w:rFonts w:ascii="Calibri" w:cs="Calibri" w:eastAsia="Calibri" w:hAnsi="Calibri"/>
              <w:b w:val="1"/>
              <w:sz w:val="22"/>
              <w:szCs w:val="22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sz w:val="22"/>
              <w:szCs w:val="22"/>
              <w:rtl w:val="0"/>
            </w:rPr>
            <w:t xml:space="preserve"> Página </w:t>
          </w:r>
          <w:r w:rsidDel="00000000" w:rsidR="00000000" w:rsidRPr="00000000">
            <w:rPr>
              <w:rFonts w:ascii="Calibri" w:cs="Calibri" w:eastAsia="Calibri" w:hAnsi="Calibri"/>
              <w:b w:val="1"/>
              <w:sz w:val="22"/>
              <w:szCs w:val="22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1"/>
              <w:sz w:val="22"/>
              <w:szCs w:val="22"/>
              <w:rtl w:val="0"/>
            </w:rPr>
            <w:t xml:space="preserve"> de </w:t>
          </w:r>
          <w:r w:rsidDel="00000000" w:rsidR="00000000" w:rsidRPr="00000000">
            <w:rPr>
              <w:rFonts w:ascii="Calibri" w:cs="Calibri" w:eastAsia="Calibri" w:hAnsi="Calibri"/>
              <w:b w:val="1"/>
              <w:sz w:val="22"/>
              <w:szCs w:val="22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0">
    <w:pPr>
      <w:spacing w:after="0" w:line="259" w:lineRule="auto"/>
      <w:ind w:left="0" w:right="0" w:firstLine="0"/>
      <w:jc w:val="right"/>
      <w:rPr>
        <w:rFonts w:ascii="Calibri" w:cs="Calibri" w:eastAsia="Calibri" w:hAnsi="Calibri"/>
        <w:sz w:val="22"/>
        <w:szCs w:val="2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1">
    <w:pPr>
      <w:spacing w:after="0" w:line="259" w:lineRule="auto"/>
      <w:ind w:left="-1702" w:right="51" w:firstLine="0"/>
      <w:jc w:val="left"/>
      <w:rPr/>
    </w:pPr>
    <w:r w:rsidDel="00000000" w:rsidR="00000000" w:rsidRPr="00000000">
      <w:rPr/>
      <w:pict>
        <v:shape id="PowerPlusWaterMarkObject1" style="position:absolute;width:544.4576479557132pt;height:84.08956984100895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CONFIDENCIAL" style="font-family:&amp;quot;Arial&amp;quot;;font-size:1pt;"/>
        </v:shape>
      </w:pict>
    </w: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5884545</wp:posOffset>
          </wp:positionH>
          <wp:positionV relativeFrom="page">
            <wp:posOffset>449631</wp:posOffset>
          </wp:positionV>
          <wp:extent cx="807720" cy="307289"/>
          <wp:effectExtent b="0" l="0" r="0" t="0"/>
          <wp:wrapSquare wrapText="bothSides" distB="0" distT="0" distL="114300" distR="114300"/>
          <wp:docPr id="5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7720" cy="30728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2">
    <w:pPr>
      <w:spacing w:after="0" w:line="259" w:lineRule="auto"/>
      <w:ind w:left="0" w:right="0" w:firstLine="0"/>
      <w:jc w:val="right"/>
      <w:rPr/>
    </w:pPr>
    <w:r w:rsidDel="00000000" w:rsidR="00000000" w:rsidRPr="00000000">
      <w:rPr/>
      <w:pict>
        <v:shape id="PowerPlusWaterMarkObject2" style="position:absolute;width:544.4576479557132pt;height:84.08956984100895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CONFIDENCIAL" style="font-family:&amp;quot;Arial&amp;quot;;font-size:1pt;"/>
        </v:shape>
      </w:pict>
    </w: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5884545</wp:posOffset>
          </wp:positionH>
          <wp:positionV relativeFrom="page">
            <wp:posOffset>449631</wp:posOffset>
          </wp:positionV>
          <wp:extent cx="807720" cy="307289"/>
          <wp:effectExtent b="0" l="0" r="0" t="0"/>
          <wp:wrapSquare wrapText="bothSides" distB="0" distT="0" distL="114300" distR="114300"/>
          <wp:docPr id="5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7720" cy="30728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720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370" w:hanging="360"/>
      </w:pPr>
      <w:rPr>
        <w:sz w:val="22"/>
        <w:szCs w:val="22"/>
      </w:rPr>
    </w:lvl>
    <w:lvl w:ilvl="1">
      <w:start w:val="1"/>
      <w:numFmt w:val="decimal"/>
      <w:lvlText w:val="%1.%2."/>
      <w:lvlJc w:val="left"/>
      <w:pPr>
        <w:ind w:left="730" w:hanging="720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730" w:hanging="720"/>
      </w:pPr>
      <w:rPr/>
    </w:lvl>
    <w:lvl w:ilvl="3">
      <w:start w:val="1"/>
      <w:numFmt w:val="decimal"/>
      <w:lvlText w:val="%1.%2.%3.%4."/>
      <w:lvlJc w:val="left"/>
      <w:pPr>
        <w:ind w:left="1090" w:hanging="1080"/>
      </w:pPr>
      <w:rPr/>
    </w:lvl>
    <w:lvl w:ilvl="4">
      <w:start w:val="1"/>
      <w:numFmt w:val="decimal"/>
      <w:lvlText w:val="%1.%2.%3.%4.%5."/>
      <w:lvlJc w:val="left"/>
      <w:pPr>
        <w:ind w:left="1090" w:hanging="1080"/>
      </w:pPr>
      <w:rPr/>
    </w:lvl>
    <w:lvl w:ilvl="5">
      <w:start w:val="1"/>
      <w:numFmt w:val="decimal"/>
      <w:lvlText w:val="%1.%2.%3.%4.%5.%6."/>
      <w:lvlJc w:val="left"/>
      <w:pPr>
        <w:ind w:left="1450" w:hanging="1440"/>
      </w:pPr>
      <w:rPr/>
    </w:lvl>
    <w:lvl w:ilvl="6">
      <w:start w:val="1"/>
      <w:numFmt w:val="decimal"/>
      <w:lvlText w:val="%1.%2.%3.%4.%5.%6.%7."/>
      <w:lvlJc w:val="left"/>
      <w:pPr>
        <w:ind w:left="1450" w:hanging="1440"/>
      </w:pPr>
      <w:rPr/>
    </w:lvl>
    <w:lvl w:ilvl="7">
      <w:start w:val="1"/>
      <w:numFmt w:val="decimal"/>
      <w:lvlText w:val="%1.%2.%3.%4.%5.%6.%7.%8."/>
      <w:lvlJc w:val="left"/>
      <w:pPr>
        <w:ind w:left="1810" w:hanging="1800"/>
      </w:pPr>
      <w:rPr/>
    </w:lvl>
    <w:lvl w:ilvl="8">
      <w:start w:val="1"/>
      <w:numFmt w:val="decimal"/>
      <w:lvlText w:val="%1.%2.%3.%4.%5.%6.%7.%8.%9."/>
      <w:lvlJc w:val="left"/>
      <w:pPr>
        <w:ind w:left="181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pt-BR"/>
      </w:rPr>
    </w:rPrDefault>
    <w:pPrDefault>
      <w:pPr>
        <w:spacing w:after="161" w:line="260" w:lineRule="auto"/>
        <w:ind w:left="10" w:right="49" w:hanging="2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60" w:lineRule="auto"/>
      <w:ind w:left="720" w:right="49" w:hanging="720"/>
      <w:jc w:val="both"/>
    </w:pPr>
    <w:rPr>
      <w:rFonts w:ascii="Calibri" w:cs="Calibri" w:eastAsia="Calibri" w:hAnsi="Calibri"/>
      <w:b w:val="0"/>
      <w:i w:val="0"/>
      <w:smallCaps w:val="0"/>
      <w:strike w:val="0"/>
      <w:color w:val="2f549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60" w:lineRule="auto"/>
      <w:ind w:left="1440" w:right="49" w:hanging="720"/>
      <w:jc w:val="both"/>
    </w:pPr>
    <w:rPr>
      <w:rFonts w:ascii="Calibri" w:cs="Calibri" w:eastAsia="Calibri" w:hAnsi="Calibri"/>
      <w:b w:val="0"/>
      <w:i w:val="0"/>
      <w:smallCaps w:val="0"/>
      <w:strike w:val="0"/>
      <w:color w:val="2f549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ind w:hanging="10"/>
    </w:pPr>
    <w:rPr>
      <w:color w:val="000000"/>
    </w:rPr>
  </w:style>
  <w:style w:type="paragraph" w:styleId="Ttulo1">
    <w:name w:val="heading 1"/>
    <w:next w:val="Normal"/>
    <w:link w:val="Ttulo1Char"/>
    <w:uiPriority w:val="9"/>
    <w:qFormat w:val="1"/>
    <w:pPr>
      <w:keepNext w:val="1"/>
      <w:keepLines w:val="1"/>
      <w:numPr>
        <w:numId w:val="3"/>
      </w:numPr>
      <w:spacing w:after="0"/>
      <w:outlineLvl w:val="0"/>
    </w:pPr>
    <w:rPr>
      <w:rFonts w:ascii="Calibri" w:cs="Calibri" w:eastAsia="Calibri" w:hAnsi="Calibri"/>
      <w:color w:val="2f5496"/>
      <w:sz w:val="32"/>
    </w:rPr>
  </w:style>
  <w:style w:type="paragraph" w:styleId="Ttulo2">
    <w:name w:val="heading 2"/>
    <w:next w:val="Normal"/>
    <w:link w:val="Ttulo2Char"/>
    <w:uiPriority w:val="9"/>
    <w:semiHidden w:val="1"/>
    <w:unhideWhenUsed w:val="1"/>
    <w:qFormat w:val="1"/>
    <w:pPr>
      <w:keepNext w:val="1"/>
      <w:keepLines w:val="1"/>
      <w:numPr>
        <w:ilvl w:val="1"/>
        <w:numId w:val="3"/>
      </w:numPr>
      <w:spacing w:after="0"/>
      <w:outlineLvl w:val="1"/>
    </w:pPr>
    <w:rPr>
      <w:rFonts w:ascii="Calibri" w:cs="Calibri" w:eastAsia="Calibri" w:hAnsi="Calibri"/>
      <w:color w:val="2f5496"/>
      <w:sz w:val="2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2Char" w:customStyle="1">
    <w:name w:val="Título 2 Char"/>
    <w:link w:val="Ttulo2"/>
    <w:rPr>
      <w:rFonts w:ascii="Calibri" w:cs="Calibri" w:eastAsia="Calibri" w:hAnsi="Calibri"/>
      <w:color w:val="2f5496"/>
      <w:sz w:val="26"/>
    </w:rPr>
  </w:style>
  <w:style w:type="character" w:styleId="Ttulo1Char" w:customStyle="1">
    <w:name w:val="Título 1 Char"/>
    <w:link w:val="Ttulo1"/>
    <w:rPr>
      <w:rFonts w:ascii="Calibri" w:cs="Calibri" w:eastAsia="Calibri" w:hAnsi="Calibri"/>
      <w:color w:val="2f5496"/>
      <w:sz w:val="32"/>
    </w:rPr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2"/>
    <w:pPr>
      <w:spacing w:after="0" w:line="240" w:lineRule="auto"/>
    </w:pPr>
    <w:tblPr>
      <w:tblStyleRowBandSize w:val="1"/>
      <w:tblStyleColBandSize w:val="1"/>
      <w:tblCellMar>
        <w:top w:w="41.0" w:type="dxa"/>
        <w:left w:w="108.0" w:type="dxa"/>
        <w:right w:w="56.0" w:type="dxa"/>
      </w:tblCellMar>
    </w:tblPr>
  </w:style>
  <w:style w:type="table" w:styleId="a0" w:customStyle="1">
    <w:basedOn w:val="TableNormal2"/>
    <w:pPr>
      <w:spacing w:after="0" w:line="240" w:lineRule="auto"/>
    </w:pPr>
    <w:tblPr>
      <w:tblStyleRowBandSize w:val="1"/>
      <w:tblStyleColBandSize w:val="1"/>
      <w:tblCellMar>
        <w:top w:w="41.0" w:type="dxa"/>
        <w:left w:w="108.0" w:type="dxa"/>
        <w:right w:w="56.0" w:type="dxa"/>
      </w:tblCellMar>
    </w:tblPr>
  </w:style>
  <w:style w:type="table" w:styleId="a1" w:customStyle="1">
    <w:basedOn w:val="TableNormal2"/>
    <w:pPr>
      <w:spacing w:after="0" w:line="240" w:lineRule="auto"/>
    </w:pPr>
    <w:tblPr>
      <w:tblStyleRowBandSize w:val="1"/>
      <w:tblStyleColBandSize w:val="1"/>
      <w:tblCellMar>
        <w:top w:w="41.0" w:type="dxa"/>
        <w:left w:w="108.0" w:type="dxa"/>
        <w:right w:w="56.0" w:type="dxa"/>
      </w:tblCellMar>
    </w:tblPr>
  </w:style>
  <w:style w:type="table" w:styleId="a2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Rodap">
    <w:name w:val="footer"/>
    <w:basedOn w:val="Normal"/>
    <w:link w:val="RodapChar"/>
    <w:uiPriority w:val="99"/>
    <w:unhideWhenUsed w:val="1"/>
    <w:rsid w:val="0028351C"/>
    <w:pPr>
      <w:tabs>
        <w:tab w:val="center" w:pos="4419"/>
        <w:tab w:val="right" w:pos="8838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28351C"/>
    <w:rPr>
      <w:color w:val="000000"/>
    </w:rPr>
  </w:style>
  <w:style w:type="paragraph" w:styleId="CabealhodoSumrio">
    <w:name w:val="TOC Heading"/>
    <w:basedOn w:val="Ttulo1"/>
    <w:next w:val="Normal"/>
    <w:uiPriority w:val="39"/>
    <w:unhideWhenUsed w:val="1"/>
    <w:qFormat w:val="1"/>
    <w:rsid w:val="0028351C"/>
    <w:pPr>
      <w:numPr>
        <w:numId w:val="0"/>
      </w:numPr>
      <w:spacing w:before="240" w:line="259" w:lineRule="auto"/>
      <w:ind w:right="0"/>
      <w:jc w:val="left"/>
      <w:outlineLvl w:val="9"/>
    </w:pPr>
    <w:rPr>
      <w:rFonts w:asciiTheme="majorHAnsi" w:cstheme="majorBidi" w:eastAsiaTheme="majorEastAsia" w:hAnsiTheme="majorHAnsi"/>
      <w:color w:val="2e74b5" w:themeColor="accent1" w:themeShade="0000BF"/>
      <w:szCs w:val="32"/>
    </w:rPr>
  </w:style>
  <w:style w:type="paragraph" w:styleId="Sumrio1">
    <w:name w:val="toc 1"/>
    <w:basedOn w:val="Normal"/>
    <w:next w:val="Normal"/>
    <w:autoRedefine w:val="1"/>
    <w:uiPriority w:val="39"/>
    <w:unhideWhenUsed w:val="1"/>
    <w:rsid w:val="001C7EF9"/>
    <w:pPr>
      <w:spacing w:after="100"/>
      <w:ind w:left="0"/>
    </w:pPr>
  </w:style>
  <w:style w:type="paragraph" w:styleId="Sumrio2">
    <w:name w:val="toc 2"/>
    <w:basedOn w:val="Normal"/>
    <w:next w:val="Normal"/>
    <w:autoRedefine w:val="1"/>
    <w:uiPriority w:val="39"/>
    <w:unhideWhenUsed w:val="1"/>
    <w:rsid w:val="001C7EF9"/>
    <w:pPr>
      <w:spacing w:after="100"/>
      <w:ind w:left="240"/>
    </w:pPr>
  </w:style>
  <w:style w:type="table" w:styleId="a3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41.0" w:type="dxa"/>
        <w:left w:w="115.0" w:type="dxa"/>
        <w:right w:w="115.0" w:type="dxa"/>
      </w:tblCellMar>
    </w:tblPr>
  </w:style>
  <w:style w:type="table" w:styleId="a4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41.0" w:type="dxa"/>
        <w:left w:w="115.0" w:type="dxa"/>
        <w:right w:w="115.0" w:type="dxa"/>
      </w:tblCellMar>
    </w:tblPr>
  </w:style>
  <w:style w:type="table" w:styleId="a5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41.0" w:type="dxa"/>
        <w:left w:w="115.0" w:type="dxa"/>
        <w:right w:w="115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41.0" w:type="dxa"/>
        <w:left w:w="115.0" w:type="dxa"/>
        <w:right w:w="115.0" w:type="dxa"/>
      </w:tblCellMar>
    </w:tblPr>
  </w:style>
  <w:style w:type="paragraph" w:styleId="PargrafodaLista">
    <w:name w:val="List Paragraph"/>
    <w:basedOn w:val="Normal"/>
    <w:uiPriority w:val="34"/>
    <w:qFormat w:val="1"/>
    <w:rsid w:val="00E4053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41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41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41.0" w:type="dxa"/>
        <w:left w:w="115.0" w:type="dxa"/>
        <w:bottom w:w="10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mhIoWDEdIGJEaHRFrga10QfDzA==">CgMxLjAyDmguajJjZTVxdHJnOW1qMg5oLm15ZTZqcWNmbG1nejIJaC4zem55c2g3Mg5oLnlpYjhwM2tlbnQwMDIOaC5hd2UwZHJxamdzbGYyDmguZzc2b2tqeWI4OGNiMg5oLmwwbXc1YmRqOXY3bzIOaC5xN2VzNjB1ZW5nZ3EyDmguZ2F2Z2RwYXFwdjcwMg5oLmpwODNwYXd5M3NrNTIOaC4xMjRydHBia2RsbnkyDmgudWc2OGxiaHNsZDhzMg5oLmFnbmk2MzgxbDNodTIOaC5ibHUwaTl3eWR3cTEyDWgua2UxMGhsazk1NXYyDmguNW55dWttZnd1dDF6OAByITFuNzdxWlZXeEJHb3hTNkZEdlZKb1dnbjlRalgxNERy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2021-05-05T14:59:00Z</dcterms:created>
  <dc:creator>Laura Victoria Morales Medina</dc:creator>
</cp:coreProperties>
</file>