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Reporte Fluidattcks 29-09-21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Clave del informe</w:t>
        <w:br w:type="textWrapping"/>
        <w:br w:type="textWrapping"/>
        <w:t xml:space="preserve">transform cinema squash hardware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Informe fluid attack 4-04-2022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Clave del Informe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</w:rPr>
        <w:drawing>
          <wp:inline distB="114300" distT="114300" distL="114300" distR="114300">
            <wp:extent cx="5743575" cy="12820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980" l="0" r="-4687" t="5687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28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