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b/>
          <w:bCs/>
          <w:color w:val="6B7280"/>
          <w:sz w:val="20"/>
          <w:szCs w:val="20"/>
        </w:rPr>
        <w:t xml:space="preserve">PRODUCT REQUIREMENTS DOCUMENT</w:t>
      </w:r>
    </w:p>
    <w:p>
      <w:pPr>
        <w:spacing w:after="60" w:before="120"/>
      </w:pPr>
      <w:r>
        <w:rPr>
          <w:rFonts w:ascii="Arial" w:cs="Arial" w:eastAsia="Arial" w:hAnsi="Arial"/>
          <w:b/>
          <w:bCs/>
          <w:color w:val="1E3A5F"/>
          <w:sz w:val="64"/>
          <w:szCs w:val="64"/>
        </w:rPr>
        <w:t xml:space="preserve">ResearchBridge</w:t>
      </w:r>
    </w:p>
    <w:p>
      <w:pPr>
        <w:spacing w:after="60" w:before="0"/>
      </w:pPr>
      <w:r>
        <w:rPr>
          <w:rFonts w:ascii="Arial" w:cs="Arial" w:eastAsia="Arial" w:hAnsi="Arial"/>
          <w:color w:val="2E86AB"/>
          <w:sz w:val="28"/>
          <w:szCs w:val="28"/>
        </w:rPr>
        <w:t xml:space="preserve">AI-Powered Research Lab Entry Kit for Underrepresented Undergraduates</w:t>
      </w:r>
    </w:p>
    <w:p>
      <w:pPr>
        <w:spacing w:after="480" w:before="40"/>
      </w:pPr>
      <w:r>
        <w:rPr>
          <w:rFonts w:ascii="Arial" w:cs="Arial" w:eastAsia="Arial" w:hAnsi="Arial"/>
          <w:color w:val="6B7280"/>
          <w:sz w:val="20"/>
          <w:szCs w:val="20"/>
        </w:rPr>
        <w:t xml:space="preserve">Built with OpenAI Codex  |  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Product Name</w:t>
            </w:r>
          </w:p>
        </w:tc>
        <w:tc>
          <w:tcPr>
            <w:tcW w:type="dxa" w:w="7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ResearchBridge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Cayden Akins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Version</w:t>
            </w:r>
          </w:p>
        </w:tc>
        <w:tc>
          <w:tcPr>
            <w:tcW w:type="dxa" w:w="7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1.0 — Initial Release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Draft — Submitted for OpenAI x Handshake Codex Creator Challenge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Date</w:t>
            </w:r>
          </w:p>
        </w:tc>
        <w:tc>
          <w:tcPr>
            <w:tcW w:type="dxa" w:w="7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April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AI 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OpenAI Codex (Responses API, Agentic)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Target Stack</w:t>
            </w:r>
          </w:p>
        </w:tc>
        <w:tc>
          <w:tcPr>
            <w:tcW w:type="dxa" w:w="7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React + Tailwind | FastAPI | text-embedding-3-small | WeasyPrint</w:t>
            </w:r>
          </w:p>
        </w:tc>
      </w:tr>
    </w:tbl>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1. Executive Summary</w:t>
      </w:r>
    </w:p>
    <w:p>
      <w:pPr>
        <w:spacing w:after="80" w:before="60"/>
      </w:pPr>
      <w:r>
        <w:rPr>
          <w:rFonts w:ascii="Arial" w:cs="Arial" w:eastAsia="Arial" w:hAnsi="Arial"/>
          <w:color w:val="111111"/>
          <w:sz w:val="22"/>
          <w:szCs w:val="22"/>
        </w:rPr>
        <w:t xml:space="preserve">ResearchBridge is a Codex-powered agentic web application that automates the hidden curriculum of undergraduate research access. First-generation, low-income, and underrepresented students enter their academic profile once and receive, within three minutes, a fully personalized Research Application Kit: matched professor cold emails, a drafted research statement, a curated and deadline-sorted grant list, and a 12-week lab onboarding plan.</w:t>
      </w:r>
    </w:p>
    <w:p>
      <w:pPr>
        <w:spacing w:after="0" w:before="0"/>
      </w:pPr>
      <w:r>
        <w:t xml:space="preserve"/>
      </w:r>
    </w:p>
    <w:p>
      <w:pPr>
        <w:spacing w:after="80" w:before="60"/>
      </w:pPr>
      <w:r>
        <w:rPr>
          <w:rFonts w:ascii="Arial" w:cs="Arial" w:eastAsia="Arial" w:hAnsi="Arial"/>
          <w:color w:val="111111"/>
          <w:sz w:val="22"/>
          <w:szCs w:val="22"/>
        </w:rPr>
        <w:t xml:space="preserve">The application is not a chatbot. It is a coordinated multi-step Codex agent pipeline with tool use — scraping, semantic embedding, document generation, and export — operating transparently so the student understands every action the system takes on their behalf.</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24"/>
              <w:bottom w:val="single" w:color="2E86AB" w:sz="6"/>
              <w:right w:val="none" w:color="FFFFFF" w:sz="0"/>
            </w:tcBorders>
            <w:shd w:fill="EBF4FA" w:val="clear"/>
            <w:tcMar>
              <w:top w:type="dxa" w:w="120"/>
              <w:left w:type="dxa" w:w="180"/>
              <w:bottom w:type="dxa" w:w="120"/>
              <w:right w:type="dxa" w:w="180"/>
            </w:tcMar>
          </w:tcPr>
          <w:p>
            <w:pPr>
              <w:spacing w:after="40" w:before="0"/>
            </w:pPr>
            <w:r>
              <w:rPr>
                <w:rFonts w:ascii="Arial" w:cs="Arial" w:eastAsia="Arial" w:hAnsi="Arial"/>
                <w:b/>
                <w:bCs/>
                <w:color w:val="2E86AB"/>
                <w:sz w:val="22"/>
                <w:szCs w:val="22"/>
              </w:rPr>
              <w:t xml:space="preserve">Core Insight</w:t>
            </w:r>
          </w:p>
          <w:p>
            <w:pPr>
              <w:spacing w:after="0" w:before="0"/>
            </w:pPr>
            <w:r>
              <w:rPr>
                <w:rFonts w:ascii="Arial" w:cs="Arial" w:eastAsia="Arial" w:hAnsi="Arial"/>
                <w:color w:val="111111"/>
                <w:sz w:val="21"/>
                <w:szCs w:val="21"/>
              </w:rPr>
              <w:t xml:space="preserve">Access to early undergraduate research experience is one of the strongest predictors of PhD entry and STEM career trajectory. The bottleneck is not talent — it is information asymmetry and social capital. ResearchBridge closes that gap programmatically.</w:t>
            </w:r>
          </w:p>
        </w:tc>
      </w:tr>
    </w:tbl>
    <w:p>
      <w:pPr>
        <w:spacing w:after="0" w:before="0"/>
      </w:pPr>
      <w:r>
        <w:t xml:space="preserve"/>
      </w:r>
    </w:p>
    <w:p>
      <w:pPr>
        <w:pStyle w:val="Heading1"/>
        <w:pBdr>
          <w:bottom w:val="single" w:color="2E86AB" w:sz="8" w:space="6"/>
        </w:pBdr>
        <w:spacing w:after="120" w:before="360"/>
      </w:pPr>
      <w:r>
        <w:rPr>
          <w:rFonts w:ascii="Arial" w:cs="Arial" w:eastAsia="Arial" w:hAnsi="Arial"/>
          <w:b/>
          <w:bCs/>
          <w:color w:val="1E3A5F"/>
          <w:sz w:val="32"/>
          <w:szCs w:val="32"/>
        </w:rPr>
        <w:t xml:space="preserve">2. Problem Statement</w:t>
      </w:r>
    </w:p>
    <w:p>
      <w:pPr>
        <w:pStyle w:val="Heading2"/>
        <w:spacing w:after="80" w:before="280"/>
      </w:pPr>
      <w:r>
        <w:rPr>
          <w:rFonts w:ascii="Arial" w:cs="Arial" w:eastAsia="Arial" w:hAnsi="Arial"/>
          <w:b/>
          <w:bCs/>
          <w:color w:val="2E86AB"/>
          <w:sz w:val="26"/>
          <w:szCs w:val="26"/>
        </w:rPr>
        <w:t xml:space="preserve">2.1 The Hidden Curriculum of Research Access</w:t>
      </w:r>
    </w:p>
    <w:p>
      <w:pPr>
        <w:spacing w:after="80" w:before="60"/>
      </w:pPr>
      <w:r>
        <w:rPr>
          <w:rFonts w:ascii="Arial" w:cs="Arial" w:eastAsia="Arial" w:hAnsi="Arial"/>
          <w:color w:val="111111"/>
          <w:sz w:val="22"/>
          <w:szCs w:val="22"/>
        </w:rPr>
        <w:t xml:space="preserve">Research participation among undergraduates is not equitably distributed. The students most likely to get into labs are those who already know how to navigate academic culture: how to email a professor, what a research statement is, which grants exist, and what a realistic timeline looks like. This knowledge is transmitted informally through family networks, elite high school preparation, and peer mentorship — none of which are available to many first-generation or underrepresented students.</w:t>
      </w:r>
    </w:p>
    <w:p>
      <w:pPr>
        <w:pStyle w:val="Heading2"/>
        <w:spacing w:after="80" w:before="280"/>
      </w:pPr>
      <w:r>
        <w:rPr>
          <w:rFonts w:ascii="Arial" w:cs="Arial" w:eastAsia="Arial" w:hAnsi="Arial"/>
          <w:b/>
          <w:bCs/>
          <w:color w:val="2E86AB"/>
          <w:sz w:val="26"/>
          <w:szCs w:val="26"/>
        </w:rPr>
        <w:t xml:space="preserve">2.2 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 /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Underrepresented minorities are ~30% of STEM undergrads</w:t>
            </w:r>
          </w:p>
        </w:tc>
        <w:tc>
          <w:tcPr>
            <w:tcW w:type="dxa" w:w="46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NSF NCSES, 2023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But under 15% of STEM PhD entrants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NSF Survey of Earned Doctorates</w:t>
            </w:r>
          </w:p>
        </w:tc>
      </w:tr>
      <w:tr>
        <w:tc>
          <w:tcPr>
            <w:tcW w:type="dxa" w:w="46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First-gen students participate in URE at roughly half the rate of continuing-gen peers</w:t>
            </w:r>
          </w:p>
        </w:tc>
        <w:tc>
          <w:tcPr>
            <w:tcW w:type="dxa" w:w="46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PNAS, 2021 — Aikens et 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Cold email response rates for undergrads average 10-15%, but strongly correlate with email quality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Multi-campus surveys, 2019-2022</w:t>
            </w:r>
          </w:p>
        </w:tc>
      </w:tr>
      <w:tr>
        <w:tc>
          <w:tcPr>
            <w:tcW w:type="dxa" w:w="46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Students who complete URE are 2.3x more likely to enter STEM PhD programs</w:t>
            </w:r>
          </w:p>
        </w:tc>
        <w:tc>
          <w:tcPr>
            <w:tcW w:type="dxa" w:w="46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Science, 2013 — Russell et al.</w:t>
            </w:r>
          </w:p>
        </w:tc>
      </w:tr>
    </w:tbl>
    <w:p>
      <w:pPr>
        <w:spacing w:after="0" w:before="0"/>
      </w:pPr>
      <w:r>
        <w:t xml:space="preserve"/>
      </w:r>
    </w:p>
    <w:p>
      <w:pPr>
        <w:pStyle w:val="Heading2"/>
        <w:spacing w:after="80" w:before="280"/>
      </w:pPr>
      <w:r>
        <w:rPr>
          <w:rFonts w:ascii="Arial" w:cs="Arial" w:eastAsia="Arial" w:hAnsi="Arial"/>
          <w:b/>
          <w:bCs/>
          <w:color w:val="2E86AB"/>
          <w:sz w:val="26"/>
          <w:szCs w:val="26"/>
        </w:rPr>
        <w:t xml:space="preserve">2.3 Why Existing Tools Fail</w:t>
      </w:r>
    </w:p>
    <w:p>
      <w:pPr>
        <w:pStyle w:val="ListParagraph"/>
        <w:numPr>
          <w:ilvl w:val="0"/>
          <w:numId w:val="2"/>
        </w:numPr>
        <w:spacing w:after="40" w:before="40"/>
      </w:pPr>
      <w:r>
        <w:rPr>
          <w:rFonts w:ascii="Arial" w:cs="Arial" w:eastAsia="Arial" w:hAnsi="Arial"/>
          <w:b/>
          <w:bCs/>
          <w:color w:val="111111"/>
          <w:sz w:val="22"/>
          <w:szCs w:val="22"/>
        </w:rPr>
        <w:t xml:space="preserve">Generic AI: </w:t>
      </w:r>
      <w:r>
        <w:rPr>
          <w:rFonts w:ascii="Arial" w:cs="Arial" w:eastAsia="Arial" w:hAnsi="Arial"/>
          <w:color w:val="111111"/>
          <w:sz w:val="22"/>
          <w:szCs w:val="22"/>
        </w:rPr>
        <w:t xml:space="preserve">ChatGPT / general LLMs: Generic. Cannot browse faculty pages, read recent papers, or tailor to a specific university ecosystem.</w:t>
      </w:r>
    </w:p>
    <w:p>
      <w:pPr>
        <w:pStyle w:val="ListParagraph"/>
        <w:numPr>
          <w:ilvl w:val="0"/>
          <w:numId w:val="2"/>
        </w:numPr>
        <w:spacing w:after="40" w:before="40"/>
      </w:pPr>
      <w:r>
        <w:rPr>
          <w:rFonts w:ascii="Arial" w:cs="Arial" w:eastAsia="Arial" w:hAnsi="Arial"/>
          <w:b/>
          <w:bCs/>
          <w:color w:val="111111"/>
          <w:sz w:val="22"/>
          <w:szCs w:val="22"/>
        </w:rPr>
        <w:t xml:space="preserve">Handshake Today: </w:t>
      </w:r>
      <w:r>
        <w:rPr>
          <w:rFonts w:ascii="Arial" w:cs="Arial" w:eastAsia="Arial" w:hAnsi="Arial"/>
          <w:color w:val="111111"/>
          <w:sz w:val="22"/>
          <w:szCs w:val="22"/>
        </w:rPr>
        <w:t xml:space="preserve">Handshake (current): Job and internship focused. No research-specific workflow or university lab matching.</w:t>
      </w:r>
    </w:p>
    <w:p>
      <w:pPr>
        <w:pStyle w:val="ListParagraph"/>
        <w:numPr>
          <w:ilvl w:val="0"/>
          <w:numId w:val="2"/>
        </w:numPr>
        <w:spacing w:after="40" w:before="40"/>
      </w:pPr>
      <w:r>
        <w:rPr>
          <w:rFonts w:ascii="Arial" w:cs="Arial" w:eastAsia="Arial" w:hAnsi="Arial"/>
          <w:b/>
          <w:bCs/>
          <w:color w:val="111111"/>
          <w:sz w:val="22"/>
          <w:szCs w:val="22"/>
        </w:rPr>
        <w:t xml:space="preserve">Career Centers: </w:t>
      </w:r>
      <w:r>
        <w:rPr>
          <w:rFonts w:ascii="Arial" w:cs="Arial" w:eastAsia="Arial" w:hAnsi="Arial"/>
          <w:color w:val="111111"/>
          <w:sz w:val="22"/>
          <w:szCs w:val="22"/>
        </w:rPr>
        <w:t xml:space="preserve">University career centers: Understaffed, appointment-gated, frequently unfamiliar with research-specific pathways.</w:t>
      </w:r>
    </w:p>
    <w:p>
      <w:pPr>
        <w:pStyle w:val="ListParagraph"/>
        <w:numPr>
          <w:ilvl w:val="0"/>
          <w:numId w:val="2"/>
        </w:numPr>
        <w:spacing w:after="40" w:before="40"/>
      </w:pPr>
      <w:r>
        <w:rPr>
          <w:rFonts w:ascii="Arial" w:cs="Arial" w:eastAsia="Arial" w:hAnsi="Arial"/>
          <w:b/>
          <w:bCs/>
          <w:color w:val="111111"/>
          <w:sz w:val="22"/>
          <w:szCs w:val="22"/>
        </w:rPr>
        <w:t xml:space="preserve">Grant Portals: </w:t>
      </w:r>
      <w:r>
        <w:rPr>
          <w:rFonts w:ascii="Arial" w:cs="Arial" w:eastAsia="Arial" w:hAnsi="Arial"/>
          <w:color w:val="111111"/>
          <w:sz w:val="22"/>
          <w:szCs w:val="22"/>
        </w:rPr>
        <w:t xml:space="preserve">NSF REU / NIH websites: Grant information is siloed, deadline management is manual, no eligibility filtering.</w:t>
      </w:r>
    </w:p>
    <w:p>
      <w:pPr>
        <w:pStyle w:val="ListParagraph"/>
        <w:numPr>
          <w:ilvl w:val="0"/>
          <w:numId w:val="2"/>
        </w:numPr>
        <w:spacing w:after="40" w:before="40"/>
      </w:pPr>
      <w:r>
        <w:rPr>
          <w:rFonts w:ascii="Arial" w:cs="Arial" w:eastAsia="Arial" w:hAnsi="Arial"/>
          <w:b/>
          <w:bCs/>
          <w:color w:val="111111"/>
          <w:sz w:val="22"/>
          <w:szCs w:val="22"/>
        </w:rPr>
        <w:t xml:space="preserve">Email Templates: </w:t>
      </w:r>
      <w:r>
        <w:rPr>
          <w:rFonts w:ascii="Arial" w:cs="Arial" w:eastAsia="Arial" w:hAnsi="Arial"/>
          <w:color w:val="111111"/>
          <w:sz w:val="22"/>
          <w:szCs w:val="22"/>
        </w:rPr>
        <w:t xml:space="preserve">Email templates online: Static. No professor personalization. Students send identical emails to 10 professors and hear nothing.</w:t>
      </w:r>
    </w:p>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3. Target Users &amp; Personas</w:t>
      </w:r>
    </w:p>
    <w:p>
      <w:pPr>
        <w:pStyle w:val="Heading2"/>
        <w:spacing w:after="80" w:before="280"/>
      </w:pPr>
      <w:r>
        <w:rPr>
          <w:rFonts w:ascii="Arial" w:cs="Arial" w:eastAsia="Arial" w:hAnsi="Arial"/>
          <w:b/>
          <w:bCs/>
          <w:color w:val="2E86AB"/>
          <w:sz w:val="26"/>
          <w:szCs w:val="26"/>
        </w:rPr>
        <w:t xml:space="preserve">3.1 Primary Persona — The First-Gen STEM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24"/>
              <w:bottom w:val="single" w:color="2E86AB" w:sz="6"/>
              <w:right w:val="none" w:color="FFFFFF" w:sz="0"/>
            </w:tcBorders>
            <w:shd w:fill="EBF4FA" w:val="clear"/>
            <w:tcMar>
              <w:top w:type="dxa" w:w="120"/>
              <w:left w:type="dxa" w:w="180"/>
              <w:bottom w:type="dxa" w:w="120"/>
              <w:right w:type="dxa" w:w="180"/>
            </w:tcMar>
          </w:tcPr>
          <w:p>
            <w:pPr>
              <w:spacing w:after="40" w:before="0"/>
            </w:pPr>
            <w:r>
              <w:rPr>
                <w:rFonts w:ascii="Arial" w:cs="Arial" w:eastAsia="Arial" w:hAnsi="Arial"/>
                <w:b/>
                <w:bCs/>
                <w:color w:val="2E86AB"/>
                <w:sz w:val="22"/>
                <w:szCs w:val="22"/>
              </w:rPr>
              <w:t xml:space="preserve">Persona: Maria G. — Junior, Biology, State University of Texas</w:t>
            </w:r>
          </w:p>
          <w:p>
            <w:pPr>
              <w:spacing w:after="0" w:before="0"/>
            </w:pPr>
            <w:r>
              <w:rPr>
                <w:rFonts w:ascii="Arial" w:cs="Arial" w:eastAsia="Arial" w:hAnsi="Arial"/>
                <w:color w:val="111111"/>
                <w:sz w:val="21"/>
                <w:szCs w:val="21"/>
              </w:rPr>
              <w:t xml:space="preserve">Maria is a first-generation Mexican-American student with a 3.7 GPA who wants to go to medical school but knows she needs research experience. She has no idea which professors to contact, has never written a research statement, and is too intimidated to walk into a professor's office uninvited. She found an NSF REU once but missed the deadline. She is the exact student ResearchBridge was built for.</w:t>
            </w:r>
          </w:p>
        </w:tc>
      </w:tr>
    </w:tbl>
    <w:p>
      <w:pPr>
        <w:spacing w:after="0" w:before="0"/>
      </w:pPr>
      <w:r>
        <w:t xml:space="preserve"/>
      </w:r>
    </w:p>
    <w:p>
      <w:pPr>
        <w:pStyle w:val="Heading2"/>
        <w:spacing w:after="80" w:before="280"/>
      </w:pPr>
      <w:r>
        <w:rPr>
          <w:rFonts w:ascii="Arial" w:cs="Arial" w:eastAsia="Arial" w:hAnsi="Arial"/>
          <w:b/>
          <w:bCs/>
          <w:color w:val="2E86AB"/>
          <w:sz w:val="26"/>
          <w:szCs w:val="26"/>
        </w:rPr>
        <w:t xml:space="preserve">3.2 Secondary Persona — The Transfer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24"/>
              <w:bottom w:val="single" w:color="2E86AB" w:sz="6"/>
              <w:right w:val="none" w:color="FFFFFF" w:sz="0"/>
            </w:tcBorders>
            <w:shd w:fill="EBF4FA" w:val="clear"/>
            <w:tcMar>
              <w:top w:type="dxa" w:w="120"/>
              <w:left w:type="dxa" w:w="180"/>
              <w:bottom w:type="dxa" w:w="120"/>
              <w:right w:type="dxa" w:w="180"/>
            </w:tcMar>
          </w:tcPr>
          <w:p>
            <w:pPr>
              <w:spacing w:after="40" w:before="0"/>
            </w:pPr>
            <w:r>
              <w:rPr>
                <w:rFonts w:ascii="Arial" w:cs="Arial" w:eastAsia="Arial" w:hAnsi="Arial"/>
                <w:b/>
                <w:bCs/>
                <w:color w:val="2E86AB"/>
                <w:sz w:val="22"/>
                <w:szCs w:val="22"/>
              </w:rPr>
              <w:t xml:space="preserve">Persona: Darius W. — Sophomore transfer, CS, Large Public University</w:t>
            </w:r>
          </w:p>
          <w:p>
            <w:pPr>
              <w:spacing w:after="0" w:before="0"/>
            </w:pPr>
            <w:r>
              <w:rPr>
                <w:rFonts w:ascii="Arial" w:cs="Arial" w:eastAsia="Arial" w:hAnsi="Arial"/>
                <w:color w:val="111111"/>
                <w:sz w:val="21"/>
                <w:szCs w:val="21"/>
              </w:rPr>
              <w:t xml:space="preserve">Darius transferred from a community college and has two years to build research credentials before applying to graduate school. He has Python skills but no research experience. He doesn't know the academic culture of his new institution well enough to know which labs are active or which professors respond to students.</w:t>
            </w:r>
          </w:p>
        </w:tc>
      </w:tr>
    </w:tbl>
    <w:p>
      <w:pPr>
        <w:spacing w:after="0" w:before="0"/>
      </w:pPr>
      <w:r>
        <w:t xml:space="preserve"/>
      </w:r>
    </w:p>
    <w:p>
      <w:pPr>
        <w:pStyle w:val="Heading2"/>
        <w:spacing w:after="80" w:before="280"/>
      </w:pPr>
      <w:r>
        <w:rPr>
          <w:rFonts w:ascii="Arial" w:cs="Arial" w:eastAsia="Arial" w:hAnsi="Arial"/>
          <w:b/>
          <w:bCs/>
          <w:color w:val="2E86AB"/>
          <w:sz w:val="26"/>
          <w:szCs w:val="26"/>
        </w:rPr>
        <w:t xml:space="preserve">3.3 Tertiary Persona — The Pre-PhD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24"/>
              <w:bottom w:val="single" w:color="2E86AB" w:sz="6"/>
              <w:right w:val="none" w:color="FFFFFF" w:sz="0"/>
            </w:tcBorders>
            <w:shd w:fill="EBF4FA" w:val="clear"/>
            <w:tcMar>
              <w:top w:type="dxa" w:w="120"/>
              <w:left w:type="dxa" w:w="180"/>
              <w:bottom w:type="dxa" w:w="120"/>
              <w:right w:type="dxa" w:w="180"/>
            </w:tcMar>
          </w:tcPr>
          <w:p>
            <w:pPr>
              <w:spacing w:after="40" w:before="0"/>
            </w:pPr>
            <w:r>
              <w:rPr>
                <w:rFonts w:ascii="Arial" w:cs="Arial" w:eastAsia="Arial" w:hAnsi="Arial"/>
                <w:b/>
                <w:bCs/>
                <w:color w:val="2E86AB"/>
                <w:sz w:val="22"/>
                <w:szCs w:val="22"/>
              </w:rPr>
              <w:t xml:space="preserve">Persona: Sanya R. — Senior, Chemistry, HBCU</w:t>
            </w:r>
          </w:p>
          <w:p>
            <w:pPr>
              <w:spacing w:after="0" w:before="0"/>
            </w:pPr>
            <w:r>
              <w:rPr>
                <w:rFonts w:ascii="Arial" w:cs="Arial" w:eastAsia="Arial" w:hAnsi="Arial"/>
                <w:color w:val="111111"/>
                <w:sz w:val="21"/>
                <w:szCs w:val="21"/>
              </w:rPr>
              <w:t xml:space="preserve">Sanya knows she wants a PhD and has identified 3 graduate programs of interest. She needs 1-2 research letters of recommendation. She needs to start lab relationships NOW, before applications open. She wants targeted help identifying professors whose work aligns with her proposed research direction.</w:t>
            </w:r>
          </w:p>
        </w:tc>
      </w:tr>
    </w:tbl>
    <w:p>
      <w:pPr>
        <w:spacing w:after="0" w:before="0"/>
      </w:pPr>
      <w:r>
        <w:t xml:space="preserve"/>
      </w:r>
    </w:p>
    <w:p>
      <w:pPr>
        <w:pStyle w:val="Heading2"/>
        <w:spacing w:after="80" w:before="280"/>
      </w:pPr>
      <w:r>
        <w:rPr>
          <w:rFonts w:ascii="Arial" w:cs="Arial" w:eastAsia="Arial" w:hAnsi="Arial"/>
          <w:b/>
          <w:bCs/>
          <w:color w:val="2E86AB"/>
          <w:sz w:val="26"/>
          <w:szCs w:val="26"/>
        </w:rPr>
        <w:t xml:space="preserve">3.4 User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Secondary / Tertiary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Year</w:t>
            </w:r>
          </w:p>
        </w:tc>
        <w:tc>
          <w:tcPr>
            <w:tcW w:type="dxa" w:w="312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Freshman – Junior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Sophomore – Senior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GPA Range</w:t>
            </w:r>
          </w:p>
        </w:tc>
        <w:tc>
          <w:tcPr>
            <w:tcW w:type="dxa" w:w="312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2.8 – 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3.0 – 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Background</w:t>
            </w:r>
          </w:p>
        </w:tc>
        <w:tc>
          <w:tcPr>
            <w:tcW w:type="dxa" w:w="312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First-gen, URM, Pell-eligible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Transfer, HBCU, Immigrant families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STEM Focus</w:t>
            </w:r>
          </w:p>
        </w:tc>
        <w:tc>
          <w:tcPr>
            <w:tcW w:type="dxa" w:w="312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Bio, Chem, CS, Engineering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Psychology, Neuroscience, Physics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Geography</w:t>
            </w:r>
          </w:p>
        </w:tc>
        <w:tc>
          <w:tcPr>
            <w:tcW w:type="dxa" w:w="312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US — large public universities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HBCUs, HSIs, Community Colleges</w:t>
            </w:r>
          </w:p>
        </w:tc>
      </w:tr>
    </w:tbl>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4. Goals &amp; Success Metrics</w:t>
      </w:r>
    </w:p>
    <w:p>
      <w:pPr>
        <w:pStyle w:val="Heading2"/>
        <w:spacing w:after="80" w:before="280"/>
      </w:pPr>
      <w:r>
        <w:rPr>
          <w:rFonts w:ascii="Arial" w:cs="Arial" w:eastAsia="Arial" w:hAnsi="Arial"/>
          <w:b/>
          <w:bCs/>
          <w:color w:val="2E86AB"/>
          <w:sz w:val="26"/>
          <w:szCs w:val="26"/>
        </w:rPr>
        <w:t xml:space="preserve">4.1 Product Goals</w:t>
      </w:r>
    </w:p>
    <w:p>
      <w:pPr>
        <w:pStyle w:val="ListParagraph"/>
        <w:numPr>
          <w:ilvl w:val="0"/>
          <w:numId w:val="3"/>
        </w:numPr>
        <w:spacing w:after="40" w:before="40"/>
      </w:pPr>
      <w:r>
        <w:rPr>
          <w:rFonts w:ascii="Arial" w:cs="Arial" w:eastAsia="Arial" w:hAnsi="Arial"/>
          <w:color w:val="111111"/>
          <w:sz w:val="22"/>
          <w:szCs w:val="22"/>
        </w:rPr>
        <w:t xml:space="preserve">Automate the 8–15 hours a well-resourced student spends on research outreach prep down to under 10 minutes of user input.</w:t>
      </w:r>
    </w:p>
    <w:p>
      <w:pPr>
        <w:pStyle w:val="ListParagraph"/>
        <w:numPr>
          <w:ilvl w:val="0"/>
          <w:numId w:val="3"/>
        </w:numPr>
        <w:spacing w:after="40" w:before="40"/>
      </w:pPr>
      <w:r>
        <w:rPr>
          <w:rFonts w:ascii="Arial" w:cs="Arial" w:eastAsia="Arial" w:hAnsi="Arial"/>
          <w:color w:val="111111"/>
          <w:sz w:val="22"/>
          <w:szCs w:val="22"/>
        </w:rPr>
        <w:t xml:space="preserve">Produce outputs that are immediately usable — not drafts that require heavy editing — by parsing real, current professor and lab data.</w:t>
      </w:r>
    </w:p>
    <w:p>
      <w:pPr>
        <w:pStyle w:val="ListParagraph"/>
        <w:numPr>
          <w:ilvl w:val="0"/>
          <w:numId w:val="3"/>
        </w:numPr>
        <w:spacing w:after="40" w:before="40"/>
      </w:pPr>
      <w:r>
        <w:rPr>
          <w:rFonts w:ascii="Arial" w:cs="Arial" w:eastAsia="Arial" w:hAnsi="Arial"/>
          <w:color w:val="111111"/>
          <w:sz w:val="22"/>
          <w:szCs w:val="22"/>
        </w:rPr>
        <w:t xml:space="preserve">Reduce the knowledge barrier for first-generation students to zero: every term is defined, every step is explained.</w:t>
      </w:r>
    </w:p>
    <w:p>
      <w:pPr>
        <w:pStyle w:val="ListParagraph"/>
        <w:numPr>
          <w:ilvl w:val="0"/>
          <w:numId w:val="3"/>
        </w:numPr>
        <w:spacing w:after="40" w:before="40"/>
      </w:pPr>
      <w:r>
        <w:rPr>
          <w:rFonts w:ascii="Arial" w:cs="Arial" w:eastAsia="Arial" w:hAnsi="Arial"/>
          <w:color w:val="111111"/>
          <w:sz w:val="22"/>
          <w:szCs w:val="22"/>
        </w:rPr>
        <w:t xml:space="preserve">Demonstrate Codex as a true agentic orchestrator, not a text completion tool.</w:t>
      </w:r>
    </w:p>
    <w:p>
      <w:pPr>
        <w:spacing w:after="0" w:before="0"/>
      </w:pPr>
      <w:r>
        <w:t xml:space="preserve"/>
      </w:r>
    </w:p>
    <w:p>
      <w:pPr>
        <w:pStyle w:val="Heading2"/>
        <w:spacing w:after="80" w:before="280"/>
      </w:pPr>
      <w:r>
        <w:rPr>
          <w:rFonts w:ascii="Arial" w:cs="Arial" w:eastAsia="Arial" w:hAnsi="Arial"/>
          <w:b/>
          <w:bCs/>
          <w:color w:val="2E86AB"/>
          <w:sz w:val="26"/>
          <w:szCs w:val="26"/>
        </w:rPr>
        <w:t xml:space="preserve">4.2 Success Metrics — Launch (Contest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5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25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Measurement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End-to-end pipeline completion</w:t>
            </w:r>
          </w:p>
        </w:tc>
        <w:tc>
          <w:tcPr>
            <w:tcW w:type="dxa" w:w="25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&lt; 3 minutes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Stopwatch demo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Professor match accuracy (correct field)</w:t>
            </w:r>
          </w:p>
        </w:tc>
        <w:tc>
          <w:tcPr>
            <w:tcW w:type="dxa" w:w="25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&gt;= 90%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Manual QA on 10 test profiles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Email personalization (references specific paper)</w:t>
            </w:r>
          </w:p>
        </w:tc>
        <w:tc>
          <w:tcPr>
            <w:tcW w:type="dxa" w:w="25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100% of emails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Output inspection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Grant list relevance (eligible matches)</w:t>
            </w:r>
          </w:p>
        </w:tc>
        <w:tc>
          <w:tcPr>
            <w:tcW w:type="dxa" w:w="25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&gt;= 3 per profile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Test with 5 profiles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PDF export renders cleanly</w:t>
            </w:r>
          </w:p>
        </w:tc>
        <w:tc>
          <w:tcPr>
            <w:tcW w:type="dxa" w:w="25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100%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Cross-device check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UI responsiveness (mobile + desktop)</w:t>
            </w:r>
          </w:p>
        </w:tc>
        <w:tc>
          <w:tcPr>
            <w:tcW w:type="dxa" w:w="25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No broken layouts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Browser QA</w:t>
            </w:r>
          </w:p>
        </w:tc>
      </w:tr>
    </w:tbl>
    <w:p>
      <w:pPr>
        <w:spacing w:after="0" w:before="0"/>
      </w:pPr>
      <w:r>
        <w:t xml:space="preserve"/>
      </w:r>
    </w:p>
    <w:p>
      <w:pPr>
        <w:pStyle w:val="Heading2"/>
        <w:spacing w:after="80" w:before="280"/>
      </w:pPr>
      <w:r>
        <w:rPr>
          <w:rFonts w:ascii="Arial" w:cs="Arial" w:eastAsia="Arial" w:hAnsi="Arial"/>
          <w:b/>
          <w:bCs/>
          <w:color w:val="2E86AB"/>
          <w:sz w:val="26"/>
          <w:szCs w:val="26"/>
        </w:rPr>
        <w:t xml:space="preserve">4.3 Success Metrics — Post-Launch (6 Months)</w:t>
      </w:r>
    </w:p>
    <w:p>
      <w:pPr>
        <w:pStyle w:val="ListParagraph"/>
        <w:numPr>
          <w:ilvl w:val="0"/>
          <w:numId w:val="2"/>
        </w:numPr>
        <w:spacing w:after="40" w:before="40"/>
      </w:pPr>
      <w:r>
        <w:rPr>
          <w:rFonts w:ascii="Arial" w:cs="Arial" w:eastAsia="Arial" w:hAnsi="Arial"/>
          <w:color w:val="111111"/>
          <w:sz w:val="22"/>
          <w:szCs w:val="22"/>
        </w:rPr>
        <w:t xml:space="preserve">500+ research application kits generated</w:t>
      </w:r>
    </w:p>
    <w:p>
      <w:pPr>
        <w:pStyle w:val="ListParagraph"/>
        <w:numPr>
          <w:ilvl w:val="0"/>
          <w:numId w:val="2"/>
        </w:numPr>
        <w:spacing w:after="40" w:before="40"/>
      </w:pPr>
      <w:r>
        <w:rPr>
          <w:rFonts w:ascii="Arial" w:cs="Arial" w:eastAsia="Arial" w:hAnsi="Arial"/>
          <w:color w:val="111111"/>
          <w:sz w:val="22"/>
          <w:szCs w:val="22"/>
        </w:rPr>
        <w:t xml:space="preserve">30% email response rate improvement (surveyed users, N=50)</w:t>
      </w:r>
    </w:p>
    <w:p>
      <w:pPr>
        <w:pStyle w:val="ListParagraph"/>
        <w:numPr>
          <w:ilvl w:val="0"/>
          <w:numId w:val="2"/>
        </w:numPr>
        <w:spacing w:after="40" w:before="40"/>
      </w:pPr>
      <w:r>
        <w:rPr>
          <w:rFonts w:ascii="Arial" w:cs="Arial" w:eastAsia="Arial" w:hAnsi="Arial"/>
          <w:color w:val="111111"/>
          <w:sz w:val="22"/>
          <w:szCs w:val="22"/>
        </w:rPr>
        <w:t xml:space="preserve">15+ university partnerships or integrations</w:t>
      </w:r>
    </w:p>
    <w:p>
      <w:pPr>
        <w:pStyle w:val="ListParagraph"/>
        <w:numPr>
          <w:ilvl w:val="0"/>
          <w:numId w:val="2"/>
        </w:numPr>
        <w:spacing w:after="40" w:before="40"/>
      </w:pPr>
      <w:r>
        <w:rPr>
          <w:rFonts w:ascii="Arial" w:cs="Arial" w:eastAsia="Arial" w:hAnsi="Arial"/>
          <w:color w:val="111111"/>
          <w:sz w:val="22"/>
          <w:szCs w:val="22"/>
        </w:rPr>
        <w:t xml:space="preserve">Media coverage from at least 1 higher education publication</w:t>
      </w:r>
    </w:p>
    <w:p>
      <w:pPr>
        <w:pStyle w:val="ListParagraph"/>
        <w:numPr>
          <w:ilvl w:val="0"/>
          <w:numId w:val="2"/>
        </w:numPr>
        <w:spacing w:after="40" w:before="40"/>
      </w:pPr>
      <w:r>
        <w:rPr>
          <w:rFonts w:ascii="Arial" w:cs="Arial" w:eastAsia="Arial" w:hAnsi="Arial"/>
          <w:color w:val="111111"/>
          <w:sz w:val="22"/>
          <w:szCs w:val="22"/>
        </w:rPr>
        <w:t xml:space="preserve">NPS &gt;= 65 from student users</w:t>
      </w:r>
    </w:p>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5. Feature Requirements</w:t>
      </w:r>
    </w:p>
    <w:p>
      <w:pPr>
        <w:pStyle w:val="Heading2"/>
        <w:spacing w:after="80" w:before="280"/>
      </w:pPr>
      <w:r>
        <w:rPr>
          <w:rFonts w:ascii="Arial" w:cs="Arial" w:eastAsia="Arial" w:hAnsi="Arial"/>
          <w:b/>
          <w:bCs/>
          <w:color w:val="2E86AB"/>
          <w:sz w:val="26"/>
          <w:szCs w:val="26"/>
        </w:rPr>
        <w:t xml:space="preserve">5.1 Feature Overview —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Student Profile Intake Form</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Must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Structured multi-step form capturing all inputs needed for the pipeline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Lab Discovery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Must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Codex scrapes faculty directory + Google Scholar for matching labs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Professor Profiling</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Must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Reads recent papers, active interests, student acknowledgments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Cold Email Generator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Must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3–5 personalized emails per professor, referencing specific work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Research Statement Drafter</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Must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Full 1-page draft in student voice from profile inputs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Grant Matching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Must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NSF REU, NIH, DOE + institutional grants, eligibility-filtered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12-Week Onboarding Plan</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Must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Week-by-week research onboarding roadmap adapted to lab type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PDF Export / Kit Download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Must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Full kit packaged as single downloadable PDF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Live Pipeline Progress Display</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Must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Real-time step-by-step visibility of what Codex is doing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Email Refinement Loop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Should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One-click 'personalize further' feeding back into Codex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Grant Calendar Integration</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Should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Export grant deadlines to Google Calendar or .ics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Saved Profiles / 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Should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Students can save and revisit their kits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Glossary / Help Tooltips</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Should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Inline definitions for terms like 'research statement', 'PI', 'REU'</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Multi-language Support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Could Have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Spanish, Mandarin, Portuguese for international students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Advisor Dashboard</w:t>
            </w:r>
          </w:p>
        </w:tc>
        <w:tc>
          <w:tcPr>
            <w:tcW w:type="dxa" w:w="1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Won't Have (v1)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Advisors can view student kit progress and provide feedback</w:t>
            </w:r>
          </w:p>
        </w:tc>
      </w:tr>
    </w:tbl>
    <w:p>
      <w:r>
        <w:br w:type="page"/>
      </w:r>
    </w:p>
    <w:p>
      <w:pPr>
        <w:pStyle w:val="Heading2"/>
        <w:spacing w:after="80" w:before="280"/>
      </w:pPr>
      <w:r>
        <w:rPr>
          <w:rFonts w:ascii="Arial" w:cs="Arial" w:eastAsia="Arial" w:hAnsi="Arial"/>
          <w:b/>
          <w:bCs/>
          <w:color w:val="2E86AB"/>
          <w:sz w:val="26"/>
          <w:szCs w:val="26"/>
        </w:rPr>
        <w:t xml:space="preserve">5.2 Feature Deep Dives</w:t>
      </w:r>
    </w:p>
    <w:p>
      <w:pPr>
        <w:pStyle w:val="Heading3"/>
        <w:spacing w:after="60" w:before="200"/>
      </w:pPr>
      <w:r>
        <w:rPr>
          <w:rFonts w:ascii="Arial" w:cs="Arial" w:eastAsia="Arial" w:hAnsi="Arial"/>
          <w:b/>
          <w:bCs/>
          <w:color w:val="1E3A5F"/>
          <w:sz w:val="22"/>
          <w:szCs w:val="22"/>
        </w:rPr>
        <w:t xml:space="preserve">5.2.1 Student Profile Intake Form</w:t>
      </w:r>
    </w:p>
    <w:p>
      <w:pPr>
        <w:spacing w:after="80" w:before="60"/>
      </w:pPr>
      <w:r>
        <w:rPr>
          <w:rFonts w:ascii="Arial" w:cs="Arial" w:eastAsia="Arial" w:hAnsi="Arial"/>
          <w:color w:val="111111"/>
          <w:sz w:val="22"/>
          <w:szCs w:val="22"/>
        </w:rPr>
        <w:t xml:space="preserve">A 4-step guided multi-step form. Each step is validated before proceeding. No wall of fields.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Fields</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Step 1</w:t>
            </w:r>
          </w:p>
        </w:tc>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Name, University, Major, Year, GPA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University autocomplete pulls from curated list of 1,400+ US institutions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Step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Research interests (free text), prior experience (none/coursework/volunteer)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NLP tokenization runs on free text to extract domain keywords for matching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Step 3</w:t>
            </w:r>
          </w:p>
        </w:tc>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Skills (multi-select: Python, R, MATLAB, wet lab, etc.), software tools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Skills feed into grant eligibility filtering and email skills sections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Step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Resume upload (optional), goals (PhD / med school / industry / explore)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Resume parsed for additional context; goal shapes onboarding plan tone</w:t>
            </w:r>
          </w:p>
        </w:tc>
      </w:tr>
    </w:tbl>
    <w:p>
      <w:pPr>
        <w:spacing w:after="0" w:before="0"/>
      </w:pPr>
      <w:r>
        <w:t xml:space="preserve"/>
      </w:r>
    </w:p>
    <w:p>
      <w:pPr>
        <w:pStyle w:val="Heading3"/>
        <w:spacing w:after="60" w:before="200"/>
      </w:pPr>
      <w:r>
        <w:rPr>
          <w:rFonts w:ascii="Arial" w:cs="Arial" w:eastAsia="Arial" w:hAnsi="Arial"/>
          <w:b/>
          <w:bCs/>
          <w:color w:val="1E3A5F"/>
          <w:sz w:val="22"/>
          <w:szCs w:val="22"/>
        </w:rPr>
        <w:t xml:space="preserve">5.2.2 Lab Discovery Engine</w:t>
      </w:r>
    </w:p>
    <w:p>
      <w:pPr>
        <w:spacing w:after="80" w:before="60"/>
      </w:pPr>
      <w:r>
        <w:rPr>
          <w:rFonts w:ascii="Arial" w:cs="Arial" w:eastAsia="Arial" w:hAnsi="Arial"/>
          <w:color w:val="111111"/>
          <w:sz w:val="22"/>
          <w:szCs w:val="22"/>
        </w:rPr>
        <w:t xml:space="preserve">This is the first and most technically complex Codex tool call. Codex is given the student's university and extracted interest keywords and performs the following:</w:t>
      </w:r>
    </w:p>
    <w:p>
      <w:pPr>
        <w:pStyle w:val="ListParagraph"/>
        <w:numPr>
          <w:ilvl w:val="0"/>
          <w:numId w:val="3"/>
        </w:numPr>
        <w:spacing w:after="40" w:before="40"/>
      </w:pPr>
      <w:r>
        <w:rPr>
          <w:rFonts w:ascii="Arial" w:cs="Arial" w:eastAsia="Arial" w:hAnsi="Arial"/>
          <w:color w:val="111111"/>
          <w:sz w:val="22"/>
          <w:szCs w:val="22"/>
        </w:rPr>
        <w:t xml:space="preserve">Fetches the university's faculty directory URL (from curated university DB or via web search tool).</w:t>
      </w:r>
    </w:p>
    <w:p>
      <w:pPr>
        <w:pStyle w:val="ListParagraph"/>
        <w:numPr>
          <w:ilvl w:val="0"/>
          <w:numId w:val="3"/>
        </w:numPr>
        <w:spacing w:after="40" w:before="40"/>
      </w:pPr>
      <w:r>
        <w:rPr>
          <w:rFonts w:ascii="Arial" w:cs="Arial" w:eastAsia="Arial" w:hAnsi="Arial"/>
          <w:color w:val="111111"/>
          <w:sz w:val="22"/>
          <w:szCs w:val="22"/>
        </w:rPr>
        <w:t xml:space="preserve">Scrapes faculty names, titles, and lab URLs using Playwright (headless browser).</w:t>
      </w:r>
    </w:p>
    <w:p>
      <w:pPr>
        <w:pStyle w:val="ListParagraph"/>
        <w:numPr>
          <w:ilvl w:val="0"/>
          <w:numId w:val="3"/>
        </w:numPr>
        <w:spacing w:after="40" w:before="40"/>
      </w:pPr>
      <w:r>
        <w:rPr>
          <w:rFonts w:ascii="Arial" w:cs="Arial" w:eastAsia="Arial" w:hAnsi="Arial"/>
          <w:color w:val="111111"/>
          <w:sz w:val="22"/>
          <w:szCs w:val="22"/>
        </w:rPr>
        <w:t xml:space="preserve">For each faculty member, fetches their lab page and extracts a short research summary.</w:t>
      </w:r>
    </w:p>
    <w:p>
      <w:pPr>
        <w:pStyle w:val="ListParagraph"/>
        <w:numPr>
          <w:ilvl w:val="0"/>
          <w:numId w:val="3"/>
        </w:numPr>
        <w:spacing w:after="40" w:before="40"/>
      </w:pPr>
      <w:r>
        <w:rPr>
          <w:rFonts w:ascii="Arial" w:cs="Arial" w:eastAsia="Arial" w:hAnsi="Arial"/>
          <w:color w:val="111111"/>
          <w:sz w:val="22"/>
          <w:szCs w:val="22"/>
        </w:rPr>
        <w:t xml:space="preserve">Embeds research summaries using text-embedding-3-small and computes cosine similarity to the student's interest vector.</w:t>
      </w:r>
    </w:p>
    <w:p>
      <w:pPr>
        <w:pStyle w:val="ListParagraph"/>
        <w:numPr>
          <w:ilvl w:val="0"/>
          <w:numId w:val="3"/>
        </w:numPr>
        <w:spacing w:after="40" w:before="40"/>
      </w:pPr>
      <w:r>
        <w:rPr>
          <w:rFonts w:ascii="Arial" w:cs="Arial" w:eastAsia="Arial" w:hAnsi="Arial"/>
          <w:color w:val="111111"/>
          <w:sz w:val="22"/>
          <w:szCs w:val="22"/>
        </w:rPr>
        <w:t xml:space="preserve">Returns the top 5–8 professors sorted by match score, filtering out emeritus or non-accepting faculty signals.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24"/>
              <w:bottom w:val="single" w:color="2E86AB" w:sz="6"/>
              <w:right w:val="none" w:color="FFFFFF" w:sz="0"/>
            </w:tcBorders>
            <w:shd w:fill="EBF4FA" w:val="clear"/>
            <w:tcMar>
              <w:top w:type="dxa" w:w="120"/>
              <w:left w:type="dxa" w:w="180"/>
              <w:bottom w:type="dxa" w:w="120"/>
              <w:right w:type="dxa" w:w="180"/>
            </w:tcMar>
          </w:tcPr>
          <w:p>
            <w:pPr>
              <w:spacing w:after="40" w:before="0"/>
            </w:pPr>
            <w:r>
              <w:rPr>
                <w:rFonts w:ascii="Arial" w:cs="Arial" w:eastAsia="Arial" w:hAnsi="Arial"/>
                <w:b/>
                <w:bCs/>
                <w:color w:val="2E86AB"/>
                <w:sz w:val="22"/>
                <w:szCs w:val="22"/>
              </w:rPr>
              <w:t xml:space="preserve">Fallback Logic</w:t>
            </w:r>
          </w:p>
          <w:p>
            <w:pPr>
              <w:spacing w:after="0" w:before="0"/>
            </w:pPr>
            <w:r>
              <w:rPr>
                <w:rFonts w:ascii="Arial" w:cs="Arial" w:eastAsia="Arial" w:hAnsi="Arial"/>
                <w:color w:val="111111"/>
                <w:sz w:val="21"/>
                <w:szCs w:val="21"/>
              </w:rPr>
              <w:t xml:space="preserve">If the faculty directory is inaccessible or behind a login wall, Codex falls back to Google Scholar search: '[university] [field] professor site:scholar.google.com'. This is handled inside the Codex tool's error branch, not as a user-facing failure.</w:t>
            </w:r>
          </w:p>
        </w:tc>
      </w:tr>
    </w:tbl>
    <w:p>
      <w:pPr>
        <w:spacing w:after="0" w:before="0"/>
      </w:pPr>
      <w:r>
        <w:t xml:space="preserve"/>
      </w:r>
    </w:p>
    <w:p>
      <w:pPr>
        <w:pStyle w:val="Heading3"/>
        <w:spacing w:after="60" w:before="200"/>
      </w:pPr>
      <w:r>
        <w:rPr>
          <w:rFonts w:ascii="Arial" w:cs="Arial" w:eastAsia="Arial" w:hAnsi="Arial"/>
          <w:b/>
          <w:bCs/>
          <w:color w:val="1E3A5F"/>
          <w:sz w:val="22"/>
          <w:szCs w:val="22"/>
        </w:rPr>
        <w:t xml:space="preserve">5.2.3 Cold Email Generator</w:t>
      </w:r>
    </w:p>
    <w:p>
      <w:pPr>
        <w:spacing w:after="80" w:before="60"/>
      </w:pPr>
      <w:r>
        <w:rPr>
          <w:rFonts w:ascii="Arial" w:cs="Arial" w:eastAsia="Arial" w:hAnsi="Arial"/>
          <w:color w:val="111111"/>
          <w:sz w:val="22"/>
          <w:szCs w:val="22"/>
        </w:rPr>
        <w:t xml:space="preserve">For each matched professor, Codex reads:</w:t>
      </w:r>
    </w:p>
    <w:p>
      <w:pPr>
        <w:pStyle w:val="ListParagraph"/>
        <w:numPr>
          <w:ilvl w:val="0"/>
          <w:numId w:val="2"/>
        </w:numPr>
        <w:spacing w:after="40" w:before="40"/>
      </w:pPr>
      <w:r>
        <w:rPr>
          <w:rFonts w:ascii="Arial" w:cs="Arial" w:eastAsia="Arial" w:hAnsi="Arial"/>
          <w:color w:val="111111"/>
          <w:sz w:val="22"/>
          <w:szCs w:val="22"/>
        </w:rPr>
        <w:t xml:space="preserve">Their 2 most recent papers (title, abstract, key findings)</w:t>
      </w:r>
    </w:p>
    <w:p>
      <w:pPr>
        <w:pStyle w:val="ListParagraph"/>
        <w:numPr>
          <w:ilvl w:val="0"/>
          <w:numId w:val="2"/>
        </w:numPr>
        <w:spacing w:after="40" w:before="40"/>
      </w:pPr>
      <w:r>
        <w:rPr>
          <w:rFonts w:ascii="Arial" w:cs="Arial" w:eastAsia="Arial" w:hAnsi="Arial"/>
          <w:color w:val="111111"/>
          <w:sz w:val="22"/>
          <w:szCs w:val="22"/>
        </w:rPr>
        <w:t xml:space="preserve">Whether their lab page mentions open positions or student opportunities</w:t>
      </w:r>
    </w:p>
    <w:p>
      <w:pPr>
        <w:pStyle w:val="ListParagraph"/>
        <w:numPr>
          <w:ilvl w:val="0"/>
          <w:numId w:val="2"/>
        </w:numPr>
        <w:spacing w:after="40" w:before="40"/>
      </w:pPr>
      <w:r>
        <w:rPr>
          <w:rFonts w:ascii="Arial" w:cs="Arial" w:eastAsia="Arial" w:hAnsi="Arial"/>
          <w:color w:val="111111"/>
          <w:sz w:val="22"/>
          <w:szCs w:val="22"/>
        </w:rPr>
        <w:t xml:space="preserve">Lab focus area compared to student interest overlap</w:t>
      </w:r>
    </w:p>
    <w:p>
      <w:pPr>
        <w:spacing w:after="0" w:before="0"/>
      </w:pPr>
      <w:r>
        <w:t xml:space="preserve"/>
      </w:r>
    </w:p>
    <w:p>
      <w:pPr>
        <w:spacing w:after="80" w:before="60"/>
      </w:pPr>
      <w:r>
        <w:rPr>
          <w:rFonts w:ascii="Arial" w:cs="Arial" w:eastAsia="Arial" w:hAnsi="Arial"/>
          <w:color w:val="111111"/>
          <w:sz w:val="22"/>
          <w:szCs w:val="22"/>
        </w:rPr>
        <w:t xml:space="preserve">Codex then generates a cold email following a strict template structure:</w:t>
      </w:r>
    </w:p>
    <w:p>
      <w:pPr>
        <w:pStyle w:val="ListParagraph"/>
        <w:numPr>
          <w:ilvl w:val="0"/>
          <w:numId w:val="3"/>
        </w:numPr>
        <w:spacing w:after="40" w:before="40"/>
      </w:pPr>
      <w:r>
        <w:rPr>
          <w:rFonts w:ascii="Arial" w:cs="Arial" w:eastAsia="Arial" w:hAnsi="Arial"/>
          <w:color w:val="111111"/>
          <w:sz w:val="22"/>
          <w:szCs w:val="22"/>
        </w:rPr>
        <w:t xml:space="preserve">Opening: Name, year, major, brief hook connecting to a specific paper finding.</w:t>
      </w:r>
    </w:p>
    <w:p>
      <w:pPr>
        <w:pStyle w:val="ListParagraph"/>
        <w:numPr>
          <w:ilvl w:val="0"/>
          <w:numId w:val="3"/>
        </w:numPr>
        <w:spacing w:after="40" w:before="40"/>
      </w:pPr>
      <w:r>
        <w:rPr>
          <w:rFonts w:ascii="Arial" w:cs="Arial" w:eastAsia="Arial" w:hAnsi="Arial"/>
          <w:color w:val="111111"/>
          <w:sz w:val="22"/>
          <w:szCs w:val="22"/>
        </w:rPr>
        <w:t xml:space="preserve">Body: Relevant skills and coursework. Prior experience (or honest framing of enthusiasm without it).</w:t>
      </w:r>
    </w:p>
    <w:p>
      <w:pPr>
        <w:pStyle w:val="ListParagraph"/>
        <w:numPr>
          <w:ilvl w:val="0"/>
          <w:numId w:val="3"/>
        </w:numPr>
        <w:spacing w:after="40" w:before="40"/>
      </w:pPr>
      <w:r>
        <w:rPr>
          <w:rFonts w:ascii="Arial" w:cs="Arial" w:eastAsia="Arial" w:hAnsi="Arial"/>
          <w:color w:val="111111"/>
          <w:sz w:val="22"/>
          <w:szCs w:val="22"/>
        </w:rPr>
        <w:t xml:space="preserve">Ask: Specific — 15-minute call or in-person meeting, not 'any advice you have'.</w:t>
      </w:r>
    </w:p>
    <w:p>
      <w:pPr>
        <w:pStyle w:val="ListParagraph"/>
        <w:numPr>
          <w:ilvl w:val="0"/>
          <w:numId w:val="3"/>
        </w:numPr>
        <w:spacing w:after="40" w:before="40"/>
      </w:pPr>
      <w:r>
        <w:rPr>
          <w:rFonts w:ascii="Arial" w:cs="Arial" w:eastAsia="Arial" w:hAnsi="Arial"/>
          <w:color w:val="111111"/>
          <w:sz w:val="22"/>
          <w:szCs w:val="22"/>
        </w:rPr>
        <w:t xml:space="preserve">Close: Brief, professional. No desperation. No generic sign-off clichés.</w:t>
      </w:r>
    </w:p>
    <w:p>
      <w:pPr>
        <w:spacing w:after="0" w:before="0"/>
      </w:pPr>
      <w:r>
        <w:t xml:space="preserve"/>
      </w:r>
    </w:p>
    <w:p>
      <w:pPr>
        <w:spacing w:after="80" w:before="60"/>
      </w:pPr>
      <w:r>
        <w:rPr>
          <w:rFonts w:ascii="Arial" w:cs="Arial" w:eastAsia="Arial" w:hAnsi="Arial"/>
          <w:color w:val="111111"/>
          <w:sz w:val="22"/>
          <w:szCs w:val="22"/>
        </w:rPr>
        <w:t xml:space="preserve">Edge case handling:</w:t>
      </w:r>
    </w:p>
    <w:p>
      <w:pPr>
        <w:pStyle w:val="ListParagraph"/>
        <w:numPr>
          <w:ilvl w:val="0"/>
          <w:numId w:val="2"/>
        </w:numPr>
        <w:spacing w:after="40" w:before="40"/>
      </w:pPr>
      <w:r>
        <w:rPr>
          <w:rFonts w:ascii="Arial" w:cs="Arial" w:eastAsia="Arial" w:hAnsi="Arial"/>
          <w:color w:val="111111"/>
          <w:sz w:val="22"/>
          <w:szCs w:val="22"/>
        </w:rPr>
        <w:t xml:space="preserve">If no open position mentioned: Email adjusted to request informational meeting, not position.</w:t>
      </w:r>
    </w:p>
    <w:p>
      <w:pPr>
        <w:pStyle w:val="ListParagraph"/>
        <w:numPr>
          <w:ilvl w:val="0"/>
          <w:numId w:val="2"/>
        </w:numPr>
        <w:spacing w:after="40" w:before="40"/>
      </w:pPr>
      <w:r>
        <w:rPr>
          <w:rFonts w:ascii="Arial" w:cs="Arial" w:eastAsia="Arial" w:hAnsi="Arial"/>
          <w:color w:val="111111"/>
          <w:sz w:val="22"/>
          <w:szCs w:val="22"/>
        </w:rPr>
        <w:t xml:space="preserve">If student has no experience: Email emphasizes relevant coursework and learning goal framing.</w:t>
      </w:r>
    </w:p>
    <w:p>
      <w:pPr>
        <w:pStyle w:val="ListParagraph"/>
        <w:numPr>
          <w:ilvl w:val="0"/>
          <w:numId w:val="2"/>
        </w:numPr>
        <w:spacing w:after="40" w:before="40"/>
      </w:pPr>
      <w:r>
        <w:rPr>
          <w:rFonts w:ascii="Arial" w:cs="Arial" w:eastAsia="Arial" w:hAnsi="Arial"/>
          <w:color w:val="111111"/>
          <w:sz w:val="22"/>
          <w:szCs w:val="22"/>
        </w:rPr>
        <w:t xml:space="preserve">If professor is an adjunct or lecturer: Email notes awareness of teaching load, asks about collaborative paths.</w:t>
      </w:r>
    </w:p>
    <w:p>
      <w:pPr>
        <w:spacing w:after="0" w:before="0"/>
      </w:pPr>
      <w:r>
        <w:t xml:space="preserve"/>
      </w:r>
    </w:p>
    <w:p>
      <w:pPr>
        <w:pStyle w:val="Heading3"/>
        <w:spacing w:after="60" w:before="200"/>
      </w:pPr>
      <w:r>
        <w:rPr>
          <w:rFonts w:ascii="Arial" w:cs="Arial" w:eastAsia="Arial" w:hAnsi="Arial"/>
          <w:b/>
          <w:bCs/>
          <w:color w:val="1E3A5F"/>
          <w:sz w:val="22"/>
          <w:szCs w:val="22"/>
        </w:rPr>
        <w:t xml:space="preserve">5.2.4 Grant Matching Engine</w:t>
      </w:r>
    </w:p>
    <w:p>
      <w:pPr>
        <w:spacing w:after="80" w:before="60"/>
      </w:pPr>
      <w:r>
        <w:rPr>
          <w:rFonts w:ascii="Arial" w:cs="Arial" w:eastAsia="Arial" w:hAnsi="Arial"/>
          <w:color w:val="111111"/>
          <w:sz w:val="22"/>
          <w:szCs w:val="22"/>
        </w:rPr>
        <w:t xml:space="preserve">ResearchBridge maintains a curated JSON database of undergraduate research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Grant</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Funder</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Amount</w:t>
            </w:r>
          </w:p>
        </w:tc>
        <w:tc>
          <w:tcPr>
            <w:tcW w:type="dxa" w:w="20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Eligibility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NSF REU Sites</w:t>
            </w:r>
          </w:p>
        </w:tc>
        <w:tc>
          <w:tcPr>
            <w:tcW w:type="dxa" w:w="2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NSF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$4,500–$6,000/summer</w:t>
            </w:r>
          </w:p>
        </w:tc>
        <w:tc>
          <w:tcPr>
            <w:tcW w:type="dxa" w:w="204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Any UG, US citizen/PR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NIH MARC U-STAR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NIH</w:t>
            </w:r>
          </w:p>
        </w:tc>
        <w:tc>
          <w:tcPr>
            <w:tcW w:type="dxa" w:w="2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Stipend + tuition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URM, junior/senior, 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DOE SULI Program</w:t>
            </w:r>
          </w:p>
        </w:tc>
        <w:tc>
          <w:tcPr>
            <w:tcW w:type="dxa" w:w="2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DOE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$600/week</w:t>
            </w:r>
          </w:p>
        </w:tc>
        <w:tc>
          <w:tcPr>
            <w:tcW w:type="dxa" w:w="204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Any UG, 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Gates Millennium Scholars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Bill &amp; Melinda Gates</w:t>
            </w:r>
          </w:p>
        </w:tc>
        <w:tc>
          <w:tcPr>
            <w:tcW w:type="dxa" w:w="2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Full cost of attendance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URM, Pell-eligible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Goldwater Scholarship</w:t>
            </w:r>
          </w:p>
        </w:tc>
        <w:tc>
          <w:tcPr>
            <w:tcW w:type="dxa" w:w="2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Goldwater Foundation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Up to $7,500/year</w:t>
            </w:r>
          </w:p>
        </w:tc>
        <w:tc>
          <w:tcPr>
            <w:tcW w:type="dxa" w:w="204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Sophomore/Junior, STEM research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HHMI Gilliam Fellowship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HHMI</w:t>
            </w:r>
          </w:p>
        </w:tc>
        <w:tc>
          <w:tcPr>
            <w:tcW w:type="dxa" w:w="2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$53,000 (PhD)</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URM PhD applicants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Institutional URE Awards</w:t>
            </w:r>
          </w:p>
        </w:tc>
        <w:tc>
          <w:tcPr>
            <w:tcW w:type="dxa" w:w="2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University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Varies</w:t>
            </w:r>
          </w:p>
        </w:tc>
        <w:tc>
          <w:tcPr>
            <w:tcW w:type="dxa" w:w="204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Enrolled UG, GPA varies</w:t>
            </w:r>
          </w:p>
        </w:tc>
      </w:tr>
    </w:tbl>
    <w:p>
      <w:pPr>
        <w:spacing w:after="0" w:before="0"/>
      </w:pPr>
      <w:r>
        <w:t xml:space="preserve"/>
      </w:r>
    </w:p>
    <w:p>
      <w:pPr>
        <w:spacing w:after="80" w:before="60"/>
      </w:pPr>
      <w:r>
        <w:rPr>
          <w:rFonts w:ascii="Arial" w:cs="Arial" w:eastAsia="Arial" w:hAnsi="Arial"/>
          <w:color w:val="111111"/>
          <w:sz w:val="22"/>
          <w:szCs w:val="22"/>
        </w:rPr>
        <w:t xml:space="preserve">Codex filters by: citizenship requirement, year in school, GPA threshold, field of study, URM designation, and application deadline (&lt; 6 months away). Output is sorted by deadline ascending with a color-coded urgency label.</w:t>
      </w:r>
    </w:p>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6. Technical Architecture</w:t>
      </w:r>
    </w:p>
    <w:p>
      <w:pPr>
        <w:pStyle w:val="Heading2"/>
        <w:spacing w:after="80" w:before="280"/>
      </w:pPr>
      <w:r>
        <w:rPr>
          <w:rFonts w:ascii="Arial" w:cs="Arial" w:eastAsia="Arial" w:hAnsi="Arial"/>
          <w:b/>
          <w:bCs/>
          <w:color w:val="2E86AB"/>
          <w:sz w:val="26"/>
          <w:szCs w:val="26"/>
        </w:rPr>
        <w:t xml:space="preserve">6.1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24"/>
              <w:bottom w:val="single" w:color="2E86AB" w:sz="6"/>
              <w:right w:val="none" w:color="FFFFFF" w:sz="0"/>
            </w:tcBorders>
            <w:shd w:fill="EBF4FA" w:val="clear"/>
            <w:tcMar>
              <w:top w:type="dxa" w:w="120"/>
              <w:left w:type="dxa" w:w="180"/>
              <w:bottom w:type="dxa" w:w="120"/>
              <w:right w:type="dxa" w:w="180"/>
            </w:tcMar>
          </w:tcPr>
          <w:p>
            <w:pPr>
              <w:spacing w:after="40" w:before="0"/>
            </w:pPr>
            <w:r>
              <w:rPr>
                <w:rFonts w:ascii="Arial" w:cs="Arial" w:eastAsia="Arial" w:hAnsi="Arial"/>
                <w:b/>
                <w:bCs/>
                <w:color w:val="2E86AB"/>
                <w:sz w:val="22"/>
                <w:szCs w:val="22"/>
              </w:rPr>
              <w:t xml:space="preserve">Architecture Philosophy</w:t>
            </w:r>
          </w:p>
          <w:p>
            <w:pPr>
              <w:spacing w:after="0" w:before="0"/>
            </w:pPr>
            <w:r>
              <w:rPr>
                <w:rFonts w:ascii="Arial" w:cs="Arial" w:eastAsia="Arial" w:hAnsi="Arial"/>
                <w:color w:val="111111"/>
                <w:sz w:val="21"/>
                <w:szCs w:val="21"/>
              </w:rPr>
              <w:t xml:space="preserve">Every Codex call is a named, single-responsibility tool. The pipeline is transparent: the UI surfaces what tool is running, what data it retrieved, and what output it produced. This is not a black box — it is an inspectable agent.</w:t>
            </w:r>
          </w:p>
        </w:tc>
      </w:tr>
    </w:tbl>
    <w:p>
      <w:pPr>
        <w:spacing w:after="0" w:before="0"/>
      </w:pPr>
      <w:r>
        <w:t xml:space="preserve"/>
      </w:r>
    </w:p>
    <w:p>
      <w:pPr>
        <w:pStyle w:val="Heading2"/>
        <w:spacing w:after="80" w:before="280"/>
      </w:pPr>
      <w:r>
        <w:rPr>
          <w:rFonts w:ascii="Arial" w:cs="Arial" w:eastAsia="Arial" w:hAnsi="Arial"/>
          <w:b/>
          <w:bCs/>
          <w:color w:val="2E86AB"/>
          <w:sz w:val="26"/>
          <w:szCs w:val="26"/>
        </w:rPr>
        <w:t xml:space="preserve">6.2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Frontend</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React 18 + Tailwind CSS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Fast component iteration, clean utility styling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Backend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FastAPI (Python 3.11)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Async-first, native Python AI library ecosystem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AI Engine</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OpenAI Codex via Responses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Agentic tool use, multi-step orchestration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Embeddings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text-embedding-3-small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Cost-efficient semantic matching at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Web Scraping</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Playwright (async) + BeautifulSoup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Handles JS-rendered faculty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Grant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Static JSON + NSF REU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NSF REU API for live site data; curated JSON for others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PDF Export</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WeasyPrint (Python)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Server-side HTML-to-PDF, consistent rendering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Auth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Clerk.dev (OAuth)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Google / Handshake SSO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Hosting</w:t>
            </w:r>
          </w:p>
        </w:tc>
        <w:tc>
          <w:tcPr>
            <w:tcW w:type="dxa" w:w="3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Vercel (FE) + Railway (BE)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Zero-config deploys, generous free tiers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PostgreSQL via Supabase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Saved profiles, kit history, grant deadlines cache</w:t>
            </w:r>
          </w:p>
        </w:tc>
      </w:tr>
    </w:tbl>
    <w:p>
      <w:pPr>
        <w:spacing w:after="0" w:before="0"/>
      </w:pPr>
      <w:r>
        <w:t xml:space="preserve"/>
      </w:r>
    </w:p>
    <w:p>
      <w:pPr>
        <w:pStyle w:val="Heading2"/>
        <w:spacing w:after="80" w:before="280"/>
      </w:pPr>
      <w:r>
        <w:rPr>
          <w:rFonts w:ascii="Arial" w:cs="Arial" w:eastAsia="Arial" w:hAnsi="Arial"/>
          <w:b/>
          <w:bCs/>
          <w:color w:val="2E86AB"/>
          <w:sz w:val="26"/>
          <w:szCs w:val="26"/>
        </w:rPr>
        <w:t xml:space="preserve">6.3 Codex Agent Pipeline — Tool Definitions</w:t>
      </w:r>
    </w:p>
    <w:p>
      <w:pPr>
        <w:spacing w:after="80" w:before="60"/>
      </w:pPr>
      <w:r>
        <w:rPr>
          <w:rFonts w:ascii="Arial" w:cs="Arial" w:eastAsia="Arial" w:hAnsi="Arial"/>
          <w:color w:val="111111"/>
          <w:sz w:val="22"/>
          <w:szCs w:val="22"/>
        </w:rPr>
        <w:t xml:space="preserve">The pipeline is defined as a sequence of Codex tool calls. Each tool is a FastAPI endpoint internally.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 Name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Inputs</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search_faculty()</w:t>
            </w:r>
          </w:p>
        </w:tc>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university, interests[], major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List of professor objects: name, title, lab_url, match_score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profile_professor()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professor_name, lab_url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research_summary, recent_papers[], has_openings bool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generate_email()</w:t>
            </w:r>
          </w:p>
        </w:tc>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professor_profile, student_profile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email_subject, email_body, personalization_notes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draft_research_statement()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student_profile, matched_labs[]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research_statement string (750–900 words)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match_grants()</w:t>
            </w:r>
          </w:p>
        </w:tc>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student_profile, citizenship, gpa, year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grants[] sorted by deadline, each with eligibility_reason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build_onboarding_plan()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lab_type, goal, matched_lab_name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weeks[] each with theme, tasks[], resources[]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export_kit()</w:t>
            </w:r>
          </w:p>
        </w:tc>
        <w:tc>
          <w:tcPr>
            <w:tcW w:type="dxa" w:w="3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all_outputs, student_name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PDF binary (WeasyPrint), download URL</w:t>
            </w:r>
          </w:p>
        </w:tc>
      </w:tr>
    </w:tbl>
    <w:p>
      <w:pPr>
        <w:spacing w:after="0" w:before="0"/>
      </w:pPr>
      <w:r>
        <w:t xml:space="preserve"/>
      </w:r>
    </w:p>
    <w:p>
      <w:pPr>
        <w:pStyle w:val="Heading2"/>
        <w:spacing w:after="80" w:before="280"/>
      </w:pPr>
      <w:r>
        <w:rPr>
          <w:rFonts w:ascii="Arial" w:cs="Arial" w:eastAsia="Arial" w:hAnsi="Arial"/>
          <w:b/>
          <w:bCs/>
          <w:color w:val="2E86AB"/>
          <w:sz w:val="26"/>
          <w:szCs w:val="26"/>
        </w:rPr>
        <w:t xml:space="preserve">6.4 Data Flow Diagram</w:t>
      </w:r>
    </w:p>
    <w:p>
      <w:pPr>
        <w:spacing w:after="80" w:before="60"/>
      </w:pPr>
      <w:r>
        <w:rPr>
          <w:rFonts w:ascii="Arial" w:cs="Arial" w:eastAsia="Arial" w:hAnsi="Arial"/>
          <w:color w:val="111111"/>
          <w:sz w:val="22"/>
          <w:szCs w:val="22"/>
        </w:rPr>
        <w:t xml:space="preserve">The following describes the data flow in sequential order:</w:t>
      </w:r>
    </w:p>
    <w:p>
      <w:pPr>
        <w:pStyle w:val="ListParagraph"/>
        <w:numPr>
          <w:ilvl w:val="0"/>
          <w:numId w:val="3"/>
        </w:numPr>
        <w:spacing w:after="40" w:before="40"/>
      </w:pPr>
      <w:r>
        <w:rPr>
          <w:rFonts w:ascii="Arial" w:cs="Arial" w:eastAsia="Arial" w:hAnsi="Arial"/>
          <w:color w:val="111111"/>
          <w:sz w:val="22"/>
          <w:szCs w:val="22"/>
        </w:rPr>
        <w:t xml:space="preserve">User submits profile form (React) → POST /api/pipeline/start (FastAPI).</w:t>
      </w:r>
    </w:p>
    <w:p>
      <w:pPr>
        <w:pStyle w:val="ListParagraph"/>
        <w:numPr>
          <w:ilvl w:val="0"/>
          <w:numId w:val="3"/>
        </w:numPr>
        <w:spacing w:after="40" w:before="40"/>
      </w:pPr>
      <w:r>
        <w:rPr>
          <w:rFonts w:ascii="Arial" w:cs="Arial" w:eastAsia="Arial" w:hAnsi="Arial"/>
          <w:color w:val="111111"/>
          <w:sz w:val="22"/>
          <w:szCs w:val="22"/>
        </w:rPr>
        <w:t xml:space="preserve">FastAPI spawns async Codex agent with tool definitions loaded.</w:t>
      </w:r>
    </w:p>
    <w:p>
      <w:pPr>
        <w:pStyle w:val="ListParagraph"/>
        <w:numPr>
          <w:ilvl w:val="0"/>
          <w:numId w:val="3"/>
        </w:numPr>
        <w:spacing w:after="40" w:before="40"/>
      </w:pPr>
      <w:r>
        <w:rPr>
          <w:rFonts w:ascii="Arial" w:cs="Arial" w:eastAsia="Arial" w:hAnsi="Arial"/>
          <w:color w:val="111111"/>
          <w:sz w:val="22"/>
          <w:szCs w:val="22"/>
        </w:rPr>
        <w:t xml:space="preserve">Codex calls search_faculty() → Playwright scrapes faculty directory → embeddings computed → top professors returned.</w:t>
      </w:r>
    </w:p>
    <w:p>
      <w:pPr>
        <w:pStyle w:val="ListParagraph"/>
        <w:numPr>
          <w:ilvl w:val="0"/>
          <w:numId w:val="3"/>
        </w:numPr>
        <w:spacing w:after="40" w:before="40"/>
      </w:pPr>
      <w:r>
        <w:rPr>
          <w:rFonts w:ascii="Arial" w:cs="Arial" w:eastAsia="Arial" w:hAnsi="Arial"/>
          <w:color w:val="111111"/>
          <w:sz w:val="22"/>
          <w:szCs w:val="22"/>
        </w:rPr>
        <w:t xml:space="preserve">For each professor (parallel): Codex calls profile_professor() → scrapes lab page + recent papers → returns structured profile.</w:t>
      </w:r>
    </w:p>
    <w:p>
      <w:pPr>
        <w:pStyle w:val="ListParagraph"/>
        <w:numPr>
          <w:ilvl w:val="0"/>
          <w:numId w:val="3"/>
        </w:numPr>
        <w:spacing w:after="40" w:before="40"/>
      </w:pPr>
      <w:r>
        <w:rPr>
          <w:rFonts w:ascii="Arial" w:cs="Arial" w:eastAsia="Arial" w:hAnsi="Arial"/>
          <w:color w:val="111111"/>
          <w:sz w:val="22"/>
          <w:szCs w:val="22"/>
        </w:rPr>
        <w:t xml:space="preserve">Codex calls generate_email() for each professor with their profile + student profile → returns email objects.</w:t>
      </w:r>
    </w:p>
    <w:p>
      <w:pPr>
        <w:pStyle w:val="ListParagraph"/>
        <w:numPr>
          <w:ilvl w:val="0"/>
          <w:numId w:val="3"/>
        </w:numPr>
        <w:spacing w:after="40" w:before="40"/>
      </w:pPr>
      <w:r>
        <w:rPr>
          <w:rFonts w:ascii="Arial" w:cs="Arial" w:eastAsia="Arial" w:hAnsi="Arial"/>
          <w:color w:val="111111"/>
          <w:sz w:val="22"/>
          <w:szCs w:val="22"/>
        </w:rPr>
        <w:t xml:space="preserve">Codex calls draft_research_statement() with full context → returns draft statement.</w:t>
      </w:r>
    </w:p>
    <w:p>
      <w:pPr>
        <w:pStyle w:val="ListParagraph"/>
        <w:numPr>
          <w:ilvl w:val="0"/>
          <w:numId w:val="3"/>
        </w:numPr>
        <w:spacing w:after="40" w:before="40"/>
      </w:pPr>
      <w:r>
        <w:rPr>
          <w:rFonts w:ascii="Arial" w:cs="Arial" w:eastAsia="Arial" w:hAnsi="Arial"/>
          <w:color w:val="111111"/>
          <w:sz w:val="22"/>
          <w:szCs w:val="22"/>
        </w:rPr>
        <w:t xml:space="preserve">Codex calls match_grants() with student eligibility fields → returns sorted, filtered grant list.</w:t>
      </w:r>
    </w:p>
    <w:p>
      <w:pPr>
        <w:pStyle w:val="ListParagraph"/>
        <w:numPr>
          <w:ilvl w:val="0"/>
          <w:numId w:val="3"/>
        </w:numPr>
        <w:spacing w:after="40" w:before="40"/>
      </w:pPr>
      <w:r>
        <w:rPr>
          <w:rFonts w:ascii="Arial" w:cs="Arial" w:eastAsia="Arial" w:hAnsi="Arial"/>
          <w:color w:val="111111"/>
          <w:sz w:val="22"/>
          <w:szCs w:val="22"/>
        </w:rPr>
        <w:t xml:space="preserve">Codex calls build_onboarding_plan() with lab type and student goal → returns 12-week plan.</w:t>
      </w:r>
    </w:p>
    <w:p>
      <w:pPr>
        <w:pStyle w:val="ListParagraph"/>
        <w:numPr>
          <w:ilvl w:val="0"/>
          <w:numId w:val="3"/>
        </w:numPr>
        <w:spacing w:after="40" w:before="40"/>
      </w:pPr>
      <w:r>
        <w:rPr>
          <w:rFonts w:ascii="Arial" w:cs="Arial" w:eastAsia="Arial" w:hAnsi="Arial"/>
          <w:color w:val="111111"/>
          <w:sz w:val="22"/>
          <w:szCs w:val="22"/>
        </w:rPr>
        <w:t xml:space="preserve">FastAPI calls export_kit() → WeasyPrint renders kit HTML to PDF → uploads to Supabase Storage → returns signed URL.</w:t>
      </w:r>
    </w:p>
    <w:p>
      <w:pPr>
        <w:pStyle w:val="ListParagraph"/>
        <w:numPr>
          <w:ilvl w:val="0"/>
          <w:numId w:val="3"/>
        </w:numPr>
        <w:spacing w:after="40" w:before="40"/>
      </w:pPr>
      <w:r>
        <w:rPr>
          <w:rFonts w:ascii="Arial" w:cs="Arial" w:eastAsia="Arial" w:hAnsi="Arial"/>
          <w:color w:val="111111"/>
          <w:sz w:val="22"/>
          <w:szCs w:val="22"/>
        </w:rPr>
        <w:t xml:space="preserve">SSE stream pushes completion event to frontend → user sees kit and download button.</w:t>
      </w:r>
    </w:p>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7. UX &amp; UI Requirements</w:t>
      </w:r>
    </w:p>
    <w:p>
      <w:pPr>
        <w:pStyle w:val="Heading2"/>
        <w:spacing w:after="80" w:before="280"/>
      </w:pPr>
      <w:r>
        <w:rPr>
          <w:rFonts w:ascii="Arial" w:cs="Arial" w:eastAsia="Arial" w:hAnsi="Arial"/>
          <w:b/>
          <w:bCs/>
          <w:color w:val="2E86AB"/>
          <w:sz w:val="26"/>
          <w:szCs w:val="26"/>
        </w:rPr>
        <w:t xml:space="preserve">7.1 Design Principles</w:t>
      </w:r>
    </w:p>
    <w:p>
      <w:pPr>
        <w:pStyle w:val="ListParagraph"/>
        <w:numPr>
          <w:ilvl w:val="0"/>
          <w:numId w:val="2"/>
        </w:numPr>
        <w:spacing w:after="40" w:before="40"/>
      </w:pPr>
      <w:r>
        <w:rPr>
          <w:rFonts w:ascii="Arial" w:cs="Arial" w:eastAsia="Arial" w:hAnsi="Arial"/>
          <w:b/>
          <w:bCs/>
          <w:color w:val="111111"/>
          <w:sz w:val="22"/>
          <w:szCs w:val="22"/>
        </w:rPr>
        <w:t xml:space="preserve">Transparency: </w:t>
      </w:r>
      <w:r>
        <w:rPr>
          <w:rFonts w:ascii="Arial" w:cs="Arial" w:eastAsia="Arial" w:hAnsi="Arial"/>
          <w:color w:val="111111"/>
          <w:sz w:val="22"/>
          <w:szCs w:val="22"/>
        </w:rPr>
        <w:t xml:space="preserve">Transparency over magic: show the user what Codex is doing at every step, not just a spinner.</w:t>
      </w:r>
    </w:p>
    <w:p>
      <w:pPr>
        <w:pStyle w:val="ListParagraph"/>
        <w:numPr>
          <w:ilvl w:val="0"/>
          <w:numId w:val="2"/>
        </w:numPr>
        <w:spacing w:after="40" w:before="40"/>
      </w:pPr>
      <w:r>
        <w:rPr>
          <w:rFonts w:ascii="Arial" w:cs="Arial" w:eastAsia="Arial" w:hAnsi="Arial"/>
          <w:b/>
          <w:bCs/>
          <w:color w:val="111111"/>
          <w:sz w:val="22"/>
          <w:szCs w:val="22"/>
        </w:rPr>
        <w:t xml:space="preserve">Accessibility: </w:t>
      </w:r>
      <w:r>
        <w:rPr>
          <w:rFonts w:ascii="Arial" w:cs="Arial" w:eastAsia="Arial" w:hAnsi="Arial"/>
          <w:color w:val="111111"/>
          <w:sz w:val="22"/>
          <w:szCs w:val="22"/>
        </w:rPr>
        <w:t xml:space="preserve">Zero jargon for the user: every academic term is explained inline. Students should never Google a word on our site.</w:t>
      </w:r>
    </w:p>
    <w:p>
      <w:pPr>
        <w:pStyle w:val="ListParagraph"/>
        <w:numPr>
          <w:ilvl w:val="0"/>
          <w:numId w:val="2"/>
        </w:numPr>
        <w:spacing w:after="40" w:before="40"/>
      </w:pPr>
      <w:r>
        <w:rPr>
          <w:rFonts w:ascii="Arial" w:cs="Arial" w:eastAsia="Arial" w:hAnsi="Arial"/>
          <w:b/>
          <w:bCs/>
          <w:color w:val="111111"/>
          <w:sz w:val="22"/>
          <w:szCs w:val="22"/>
        </w:rPr>
        <w:t xml:space="preserve">Empowerment: </w:t>
      </w:r>
      <w:r>
        <w:rPr>
          <w:rFonts w:ascii="Arial" w:cs="Arial" w:eastAsia="Arial" w:hAnsi="Arial"/>
          <w:color w:val="111111"/>
          <w:sz w:val="22"/>
          <w:szCs w:val="22"/>
        </w:rPr>
        <w:t xml:space="preserve">Confidence-building: the tone of all outputs and UI copy positions the student as capable and ready, not as needing charity.</w:t>
      </w:r>
    </w:p>
    <w:p>
      <w:pPr>
        <w:pStyle w:val="ListParagraph"/>
        <w:numPr>
          <w:ilvl w:val="0"/>
          <w:numId w:val="2"/>
        </w:numPr>
        <w:spacing w:after="40" w:before="40"/>
      </w:pPr>
      <w:r>
        <w:rPr>
          <w:rFonts w:ascii="Arial" w:cs="Arial" w:eastAsia="Arial" w:hAnsi="Arial"/>
          <w:b/>
          <w:bCs/>
          <w:color w:val="111111"/>
          <w:sz w:val="22"/>
          <w:szCs w:val="22"/>
        </w:rPr>
        <w:t xml:space="preserve">Mobile-first: </w:t>
      </w:r>
      <w:r>
        <w:rPr>
          <w:rFonts w:ascii="Arial" w:cs="Arial" w:eastAsia="Arial" w:hAnsi="Arial"/>
          <w:color w:val="111111"/>
          <w:sz w:val="22"/>
          <w:szCs w:val="22"/>
        </w:rPr>
        <w:t xml:space="preserve">Mobile-first: many first-gen students primarily use mobile devices for academic work.</w:t>
      </w:r>
    </w:p>
    <w:p>
      <w:pPr>
        <w:spacing w:after="0" w:before="0"/>
      </w:pPr>
      <w:r>
        <w:t xml:space="preserve"/>
      </w:r>
    </w:p>
    <w:p>
      <w:pPr>
        <w:pStyle w:val="Heading2"/>
        <w:spacing w:after="80" w:before="280"/>
      </w:pPr>
      <w:r>
        <w:rPr>
          <w:rFonts w:ascii="Arial" w:cs="Arial" w:eastAsia="Arial" w:hAnsi="Arial"/>
          <w:b/>
          <w:bCs/>
          <w:color w:val="2E86AB"/>
          <w:sz w:val="26"/>
          <w:szCs w:val="26"/>
        </w:rPr>
        <w:t xml:space="preserve">7.2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 / View</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 &amp;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Landing Page</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Hero with value prop, social proof (stats on research access gap), clear CTA to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Step 1–4: Intake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Multi-step form with progress bar. Each step validates before advancing. Tooltips on every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Pipeline Progress View</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Live feed of Codex tool calls: step name, status (running/done), brief human-readable description of what was found. Animated.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Results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Tabbed: Professors | Emails | Research Statement | Grants | Onboarding Plan. Each tab independently reviewable and editable.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Kit Export</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Download button. Preview PDF inline. Share via link option. Email-to-self 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Profile /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Saved kits, ability to re-run with updated profile, track which professors were emailed.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Glossary</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Standalone reference page: PI, REU, research statement, cold email, LOI, stipend, etc.</w:t>
            </w:r>
          </w:p>
        </w:tc>
      </w:tr>
    </w:tbl>
    <w:p>
      <w:pPr>
        <w:spacing w:after="0" w:before="0"/>
      </w:pPr>
      <w:r>
        <w:t xml:space="preserve"/>
      </w:r>
    </w:p>
    <w:p>
      <w:pPr>
        <w:pStyle w:val="Heading2"/>
        <w:spacing w:after="80" w:before="280"/>
      </w:pPr>
      <w:r>
        <w:rPr>
          <w:rFonts w:ascii="Arial" w:cs="Arial" w:eastAsia="Arial" w:hAnsi="Arial"/>
          <w:b/>
          <w:bCs/>
          <w:color w:val="2E86AB"/>
          <w:sz w:val="26"/>
          <w:szCs w:val="26"/>
        </w:rPr>
        <w:t xml:space="preserve">7.3 Results Dashboard — Tab Specifications</w:t>
      </w:r>
    </w:p>
    <w:p>
      <w:pPr>
        <w:pStyle w:val="Heading3"/>
        <w:spacing w:after="60" w:before="200"/>
      </w:pPr>
      <w:r>
        <w:rPr>
          <w:rFonts w:ascii="Arial" w:cs="Arial" w:eastAsia="Arial" w:hAnsi="Arial"/>
          <w:b/>
          <w:bCs/>
          <w:color w:val="1E3A5F"/>
          <w:sz w:val="22"/>
          <w:szCs w:val="22"/>
        </w:rPr>
        <w:t xml:space="preserve">Professors Tab</w:t>
      </w:r>
    </w:p>
    <w:p>
      <w:pPr>
        <w:pStyle w:val="ListParagraph"/>
        <w:numPr>
          <w:ilvl w:val="0"/>
          <w:numId w:val="2"/>
        </w:numPr>
        <w:spacing w:after="40" w:before="40"/>
      </w:pPr>
      <w:r>
        <w:rPr>
          <w:rFonts w:ascii="Arial" w:cs="Arial" w:eastAsia="Arial" w:hAnsi="Arial"/>
          <w:color w:val="111111"/>
          <w:sz w:val="22"/>
          <w:szCs w:val="22"/>
        </w:rPr>
        <w:t xml:space="preserve">Cards per matched professor: name, title, institution, match score badge, 2-sentence research summary.</w:t>
      </w:r>
    </w:p>
    <w:p>
      <w:pPr>
        <w:pStyle w:val="ListParagraph"/>
        <w:numPr>
          <w:ilvl w:val="0"/>
          <w:numId w:val="2"/>
        </w:numPr>
        <w:spacing w:after="40" w:before="40"/>
      </w:pPr>
      <w:r>
        <w:rPr>
          <w:rFonts w:ascii="Arial" w:cs="Arial" w:eastAsia="Arial" w:hAnsi="Arial"/>
          <w:color w:val="111111"/>
          <w:sz w:val="22"/>
          <w:szCs w:val="22"/>
        </w:rPr>
        <w:t xml:space="preserve">Expandable: shows which papers were read and the specific overlap rationale.</w:t>
      </w:r>
    </w:p>
    <w:p>
      <w:pPr>
        <w:pStyle w:val="ListParagraph"/>
        <w:numPr>
          <w:ilvl w:val="0"/>
          <w:numId w:val="2"/>
        </w:numPr>
        <w:spacing w:after="40" w:before="40"/>
      </w:pPr>
      <w:r>
        <w:rPr>
          <w:rFonts w:ascii="Arial" w:cs="Arial" w:eastAsia="Arial" w:hAnsi="Arial"/>
          <w:color w:val="111111"/>
          <w:sz w:val="22"/>
          <w:szCs w:val="22"/>
        </w:rPr>
        <w:t xml:space="preserve">Action button: 'View Email Draft' links to that professor's email in the Emails tab.</w:t>
      </w:r>
    </w:p>
    <w:p>
      <w:pPr>
        <w:pStyle w:val="Heading3"/>
        <w:spacing w:after="60" w:before="200"/>
      </w:pPr>
      <w:r>
        <w:rPr>
          <w:rFonts w:ascii="Arial" w:cs="Arial" w:eastAsia="Arial" w:hAnsi="Arial"/>
          <w:b/>
          <w:bCs/>
          <w:color w:val="1E3A5F"/>
          <w:sz w:val="22"/>
          <w:szCs w:val="22"/>
        </w:rPr>
        <w:t xml:space="preserve">Emails Tab</w:t>
      </w:r>
    </w:p>
    <w:p>
      <w:pPr>
        <w:pStyle w:val="ListParagraph"/>
        <w:numPr>
          <w:ilvl w:val="0"/>
          <w:numId w:val="2"/>
        </w:numPr>
        <w:spacing w:after="40" w:before="40"/>
      </w:pPr>
      <w:r>
        <w:rPr>
          <w:rFonts w:ascii="Arial" w:cs="Arial" w:eastAsia="Arial" w:hAnsi="Arial"/>
          <w:color w:val="111111"/>
          <w:sz w:val="22"/>
          <w:szCs w:val="22"/>
        </w:rPr>
        <w:t xml:space="preserve">Each email displayed in a clean email client-style card: To, Subject, Body.</w:t>
      </w:r>
    </w:p>
    <w:p>
      <w:pPr>
        <w:pStyle w:val="ListParagraph"/>
        <w:numPr>
          <w:ilvl w:val="0"/>
          <w:numId w:val="2"/>
        </w:numPr>
        <w:spacing w:after="40" w:before="40"/>
      </w:pPr>
      <w:r>
        <w:rPr>
          <w:rFonts w:ascii="Arial" w:cs="Arial" w:eastAsia="Arial" w:hAnsi="Arial"/>
          <w:color w:val="111111"/>
          <w:sz w:val="22"/>
          <w:szCs w:val="22"/>
        </w:rPr>
        <w:t xml:space="preserve">Copy to clipboard button. Edit in-place. 'Personalize Further' triggers Codex refinement call.</w:t>
      </w:r>
    </w:p>
    <w:p>
      <w:pPr>
        <w:pStyle w:val="ListParagraph"/>
        <w:numPr>
          <w:ilvl w:val="0"/>
          <w:numId w:val="2"/>
        </w:numPr>
        <w:spacing w:after="40" w:before="40"/>
      </w:pPr>
      <w:r>
        <w:rPr>
          <w:rFonts w:ascii="Arial" w:cs="Arial" w:eastAsia="Arial" w:hAnsi="Arial"/>
          <w:color w:val="111111"/>
          <w:sz w:val="22"/>
          <w:szCs w:val="22"/>
        </w:rPr>
        <w:t xml:space="preserve">Gmail compose deep-link button (prefills to/subject/body).</w:t>
      </w:r>
    </w:p>
    <w:p>
      <w:pPr>
        <w:pStyle w:val="Heading3"/>
        <w:spacing w:after="60" w:before="200"/>
      </w:pPr>
      <w:r>
        <w:rPr>
          <w:rFonts w:ascii="Arial" w:cs="Arial" w:eastAsia="Arial" w:hAnsi="Arial"/>
          <w:b/>
          <w:bCs/>
          <w:color w:val="1E3A5F"/>
          <w:sz w:val="22"/>
          <w:szCs w:val="22"/>
        </w:rPr>
        <w:t xml:space="preserve">Research Statement Tab</w:t>
      </w:r>
    </w:p>
    <w:p>
      <w:pPr>
        <w:pStyle w:val="ListParagraph"/>
        <w:numPr>
          <w:ilvl w:val="0"/>
          <w:numId w:val="2"/>
        </w:numPr>
        <w:spacing w:after="40" w:before="40"/>
      </w:pPr>
      <w:r>
        <w:rPr>
          <w:rFonts w:ascii="Arial" w:cs="Arial" w:eastAsia="Arial" w:hAnsi="Arial"/>
          <w:color w:val="111111"/>
          <w:sz w:val="22"/>
          <w:szCs w:val="22"/>
        </w:rPr>
        <w:t xml:space="preserve">Full statement with paragraph-level regeneration controls.</w:t>
      </w:r>
    </w:p>
    <w:p>
      <w:pPr>
        <w:pStyle w:val="ListParagraph"/>
        <w:numPr>
          <w:ilvl w:val="0"/>
          <w:numId w:val="2"/>
        </w:numPr>
        <w:spacing w:after="40" w:before="40"/>
      </w:pPr>
      <w:r>
        <w:rPr>
          <w:rFonts w:ascii="Arial" w:cs="Arial" w:eastAsia="Arial" w:hAnsi="Arial"/>
          <w:color w:val="111111"/>
          <w:sz w:val="22"/>
          <w:szCs w:val="22"/>
        </w:rPr>
        <w:t xml:space="preserve">Word count badge. Export as .docx button.</w:t>
      </w:r>
    </w:p>
    <w:p>
      <w:pPr>
        <w:pStyle w:val="ListParagraph"/>
        <w:numPr>
          <w:ilvl w:val="0"/>
          <w:numId w:val="2"/>
        </w:numPr>
        <w:spacing w:after="40" w:before="40"/>
      </w:pPr>
      <w:r>
        <w:rPr>
          <w:rFonts w:ascii="Arial" w:cs="Arial" w:eastAsia="Arial" w:hAnsi="Arial"/>
          <w:color w:val="111111"/>
          <w:sz w:val="22"/>
          <w:szCs w:val="22"/>
        </w:rPr>
        <w:t xml:space="preserve">Side-by-side: original draft | current version (if edited).</w:t>
      </w:r>
    </w:p>
    <w:p>
      <w:pPr>
        <w:pStyle w:val="Heading3"/>
        <w:spacing w:after="60" w:before="200"/>
      </w:pPr>
      <w:r>
        <w:rPr>
          <w:rFonts w:ascii="Arial" w:cs="Arial" w:eastAsia="Arial" w:hAnsi="Arial"/>
          <w:b/>
          <w:bCs/>
          <w:color w:val="1E3A5F"/>
          <w:sz w:val="22"/>
          <w:szCs w:val="22"/>
        </w:rPr>
        <w:t xml:space="preserve">Grants Tab</w:t>
      </w:r>
    </w:p>
    <w:p>
      <w:pPr>
        <w:pStyle w:val="ListParagraph"/>
        <w:numPr>
          <w:ilvl w:val="0"/>
          <w:numId w:val="2"/>
        </w:numPr>
        <w:spacing w:after="40" w:before="40"/>
      </w:pPr>
      <w:r>
        <w:rPr>
          <w:rFonts w:ascii="Arial" w:cs="Arial" w:eastAsia="Arial" w:hAnsi="Arial"/>
          <w:color w:val="111111"/>
          <w:sz w:val="22"/>
          <w:szCs w:val="22"/>
        </w:rPr>
        <w:t xml:space="preserve">Deadline urgency color coding: Red (&lt; 30 days), Yellow (30–90 days), Green (&gt; 90 days).</w:t>
      </w:r>
    </w:p>
    <w:p>
      <w:pPr>
        <w:pStyle w:val="ListParagraph"/>
        <w:numPr>
          <w:ilvl w:val="0"/>
          <w:numId w:val="2"/>
        </w:numPr>
        <w:spacing w:after="40" w:before="40"/>
      </w:pPr>
      <w:r>
        <w:rPr>
          <w:rFonts w:ascii="Arial" w:cs="Arial" w:eastAsia="Arial" w:hAnsi="Arial"/>
          <w:color w:val="111111"/>
          <w:sz w:val="22"/>
          <w:szCs w:val="22"/>
        </w:rPr>
        <w:t xml:space="preserve">Each grant: name, funder, amount, eligibility met (checklist), external link, deadline.</w:t>
      </w:r>
    </w:p>
    <w:p>
      <w:pPr>
        <w:pStyle w:val="ListParagraph"/>
        <w:numPr>
          <w:ilvl w:val="0"/>
          <w:numId w:val="2"/>
        </w:numPr>
        <w:spacing w:after="40" w:before="40"/>
      </w:pPr>
      <w:r>
        <w:rPr>
          <w:rFonts w:ascii="Arial" w:cs="Arial" w:eastAsia="Arial" w:hAnsi="Arial"/>
          <w:color w:val="111111"/>
          <w:sz w:val="22"/>
          <w:szCs w:val="22"/>
        </w:rPr>
        <w:t xml:space="preserve">Export deadlines to Google Calendar button.</w:t>
      </w:r>
    </w:p>
    <w:p>
      <w:pPr>
        <w:pStyle w:val="Heading3"/>
        <w:spacing w:after="60" w:before="200"/>
      </w:pPr>
      <w:r>
        <w:rPr>
          <w:rFonts w:ascii="Arial" w:cs="Arial" w:eastAsia="Arial" w:hAnsi="Arial"/>
          <w:b/>
          <w:bCs/>
          <w:color w:val="1E3A5F"/>
          <w:sz w:val="22"/>
          <w:szCs w:val="22"/>
        </w:rPr>
        <w:t xml:space="preserve">Onboarding Plan Tab</w:t>
      </w:r>
    </w:p>
    <w:p>
      <w:pPr>
        <w:pStyle w:val="ListParagraph"/>
        <w:numPr>
          <w:ilvl w:val="0"/>
          <w:numId w:val="2"/>
        </w:numPr>
        <w:spacing w:after="40" w:before="40"/>
      </w:pPr>
      <w:r>
        <w:rPr>
          <w:rFonts w:ascii="Arial" w:cs="Arial" w:eastAsia="Arial" w:hAnsi="Arial"/>
          <w:color w:val="111111"/>
          <w:sz w:val="22"/>
          <w:szCs w:val="22"/>
        </w:rPr>
        <w:t xml:space="preserve">12-week timeline view. Each week: theme header, task list, optional resource links.</w:t>
      </w:r>
    </w:p>
    <w:p>
      <w:pPr>
        <w:pStyle w:val="ListParagraph"/>
        <w:numPr>
          <w:ilvl w:val="0"/>
          <w:numId w:val="2"/>
        </w:numPr>
        <w:spacing w:after="40" w:before="40"/>
      </w:pPr>
      <w:r>
        <w:rPr>
          <w:rFonts w:ascii="Arial" w:cs="Arial" w:eastAsia="Arial" w:hAnsi="Arial"/>
          <w:color w:val="111111"/>
          <w:sz w:val="22"/>
          <w:szCs w:val="22"/>
        </w:rPr>
        <w:t xml:space="preserve">Checkboxes for completed tasks (saved to profile if logged in).</w:t>
      </w:r>
    </w:p>
    <w:p>
      <w:pPr>
        <w:pStyle w:val="ListParagraph"/>
        <w:numPr>
          <w:ilvl w:val="0"/>
          <w:numId w:val="2"/>
        </w:numPr>
        <w:spacing w:after="40" w:before="40"/>
      </w:pPr>
      <w:r>
        <w:rPr>
          <w:rFonts w:ascii="Arial" w:cs="Arial" w:eastAsia="Arial" w:hAnsi="Arial"/>
          <w:color w:val="111111"/>
          <w:sz w:val="22"/>
          <w:szCs w:val="22"/>
        </w:rPr>
        <w:t xml:space="preserve">Printable calendar view export.</w:t>
      </w:r>
    </w:p>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8. Edge Case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Edge Case</w:t>
            </w:r>
          </w:p>
        </w:tc>
        <w:tc>
          <w:tcPr>
            <w:tcW w:type="dxa" w:w="30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Detection</w:t>
            </w:r>
          </w:p>
        </w:tc>
        <w:tc>
          <w:tcPr>
            <w:tcW w:type="dxa" w:w="30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Handling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Faculty directory behind login/paywall</w:t>
            </w:r>
          </w:p>
        </w:tc>
        <w:tc>
          <w:tcPr>
            <w:tcW w:type="dxa" w:w="30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HTTP 403 or CAPTCHA detected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Fall back to Google Scholar scrape for that university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Professor has no recent papers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Scholar returns 0 results &lt; 3 years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Email pivots to lab mission statement and recent grants instead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Lab page says 'not accepting students'</w:t>
            </w:r>
          </w:p>
        </w:tc>
        <w:tc>
          <w:tcPr>
            <w:tcW w:type="dxa" w:w="30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NLP keyword detection on lab page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Email reframed as long-term interest, request for future consideration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Student has no research experience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Step 2 form input: none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Research statement and emails pivot to coursework framing, explicit learning goal language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Student at a small university with few faculty</w:t>
            </w:r>
          </w:p>
        </w:tc>
        <w:tc>
          <w:tcPr>
            <w:tcW w:type="dxa" w:w="30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Lab search returns &lt; 3 results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Pipeline supplements with nearby universities' faculty (within 50 miles) and flags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No matching grants found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match_grants() returns empty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Returns university-specific URE office link and FAFSA research supplement 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Pipeline step takes &gt; 30 seconds</w:t>
            </w:r>
          </w:p>
        </w:tc>
        <w:tc>
          <w:tcPr>
            <w:tcW w:type="dxa" w:w="308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Timeout on tool call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Retry once, then return partial kit with failed steps marked for manual completion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International student (no work auth)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Citizenship field in profile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Grants filtered to non-citizenship-required only; email templates note visa status if relevant</w:t>
            </w:r>
          </w:p>
        </w:tc>
      </w:tr>
    </w:tbl>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9. API &amp;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Integration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OpenAI Responses API</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Core AI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Codex agent orchestration, tool use, email/statement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text-embedding-3-small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Embeddings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Semantic similarity between student interests and faculty research summaries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NSF REU Site API</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Grant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Live REU program listings, deadlines, eligibility fields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Google Scholar (scrape)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Web Scraping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Professor publication history, citation counts, recent paper titles/abstracts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Playwright / BeautifulSoup</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Scraping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Faculty directory pages, individual lab pages, JS-rendered 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WeasyPrint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PDF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Server-side HTML to PDF rendering for kit export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Supabase Storage</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File Storage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Signed PDF download URLs, user-uploaded resumes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Clerk.dev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OAuth (Google, GitHub), session management, user profile storage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Gmail Compose API</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Email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Deep-link to Gmail compose with prefilled to/subject/body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Google Calendar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Calendar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Export grant deadlines as calendar events with reminder flags</w:t>
            </w:r>
          </w:p>
        </w:tc>
      </w:tr>
    </w:tbl>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10. Security &amp; Privacy</w:t>
      </w:r>
    </w:p>
    <w:p>
      <w:pPr>
        <w:pStyle w:val="Heading2"/>
        <w:spacing w:after="80" w:before="280"/>
      </w:pPr>
      <w:r>
        <w:rPr>
          <w:rFonts w:ascii="Arial" w:cs="Arial" w:eastAsia="Arial" w:hAnsi="Arial"/>
          <w:b/>
          <w:bCs/>
          <w:color w:val="2E86AB"/>
          <w:sz w:val="26"/>
          <w:szCs w:val="26"/>
        </w:rPr>
        <w:t xml:space="preserve">10.1 Data Handling</w:t>
      </w:r>
    </w:p>
    <w:p>
      <w:pPr>
        <w:pStyle w:val="ListParagraph"/>
        <w:numPr>
          <w:ilvl w:val="0"/>
          <w:numId w:val="2"/>
        </w:numPr>
        <w:spacing w:after="40" w:before="40"/>
      </w:pPr>
      <w:r>
        <w:rPr>
          <w:rFonts w:ascii="Arial" w:cs="Arial" w:eastAsia="Arial" w:hAnsi="Arial"/>
          <w:color w:val="111111"/>
          <w:sz w:val="22"/>
          <w:szCs w:val="22"/>
        </w:rPr>
        <w:t xml:space="preserve">Student profiles stored encrypted at rest in Supabase (AES-256).</w:t>
      </w:r>
    </w:p>
    <w:p>
      <w:pPr>
        <w:pStyle w:val="ListParagraph"/>
        <w:numPr>
          <w:ilvl w:val="0"/>
          <w:numId w:val="2"/>
        </w:numPr>
        <w:spacing w:after="40" w:before="40"/>
      </w:pPr>
      <w:r>
        <w:rPr>
          <w:rFonts w:ascii="Arial" w:cs="Arial" w:eastAsia="Arial" w:hAnsi="Arial"/>
          <w:color w:val="111111"/>
          <w:sz w:val="22"/>
          <w:szCs w:val="22"/>
        </w:rPr>
        <w:t xml:space="preserve">Resume uploads are processed in-memory during pipeline and never persisted permanently.</w:t>
      </w:r>
    </w:p>
    <w:p>
      <w:pPr>
        <w:pStyle w:val="ListParagraph"/>
        <w:numPr>
          <w:ilvl w:val="0"/>
          <w:numId w:val="2"/>
        </w:numPr>
        <w:spacing w:after="40" w:before="40"/>
      </w:pPr>
      <w:r>
        <w:rPr>
          <w:rFonts w:ascii="Arial" w:cs="Arial" w:eastAsia="Arial" w:hAnsi="Arial"/>
          <w:color w:val="111111"/>
          <w:sz w:val="22"/>
          <w:szCs w:val="22"/>
        </w:rPr>
        <w:t xml:space="preserve">No student PII is sent to external scraping targets — only institutional URLs are fetched.</w:t>
      </w:r>
    </w:p>
    <w:p>
      <w:pPr>
        <w:pStyle w:val="ListParagraph"/>
        <w:numPr>
          <w:ilvl w:val="0"/>
          <w:numId w:val="2"/>
        </w:numPr>
        <w:spacing w:after="40" w:before="40"/>
      </w:pPr>
      <w:r>
        <w:rPr>
          <w:rFonts w:ascii="Arial" w:cs="Arial" w:eastAsia="Arial" w:hAnsi="Arial"/>
          <w:color w:val="111111"/>
          <w:sz w:val="22"/>
          <w:szCs w:val="22"/>
        </w:rPr>
        <w:t xml:space="preserve">Codex API calls include only the minimum context needed per tool call; no full profile is sent to any single external service.</w:t>
      </w:r>
    </w:p>
    <w:p>
      <w:pPr>
        <w:pStyle w:val="Heading2"/>
        <w:spacing w:after="80" w:before="280"/>
      </w:pPr>
      <w:r>
        <w:rPr>
          <w:rFonts w:ascii="Arial" w:cs="Arial" w:eastAsia="Arial" w:hAnsi="Arial"/>
          <w:b/>
          <w:bCs/>
          <w:color w:val="2E86AB"/>
          <w:sz w:val="26"/>
          <w:szCs w:val="26"/>
        </w:rPr>
        <w:t xml:space="preserve">10.2 Scraping Compliance</w:t>
      </w:r>
    </w:p>
    <w:p>
      <w:pPr>
        <w:pStyle w:val="ListParagraph"/>
        <w:numPr>
          <w:ilvl w:val="0"/>
          <w:numId w:val="2"/>
        </w:numPr>
        <w:spacing w:after="40" w:before="40"/>
      </w:pPr>
      <w:r>
        <w:rPr>
          <w:rFonts w:ascii="Arial" w:cs="Arial" w:eastAsia="Arial" w:hAnsi="Arial"/>
          <w:color w:val="111111"/>
          <w:sz w:val="22"/>
          <w:szCs w:val="22"/>
        </w:rPr>
        <w:t xml:space="preserve">Faculty directory scraping respects robots.txt. Pages marked disallow are skipped; fallback to Scholar.</w:t>
      </w:r>
    </w:p>
    <w:p>
      <w:pPr>
        <w:pStyle w:val="ListParagraph"/>
        <w:numPr>
          <w:ilvl w:val="0"/>
          <w:numId w:val="2"/>
        </w:numPr>
        <w:spacing w:after="40" w:before="40"/>
      </w:pPr>
      <w:r>
        <w:rPr>
          <w:rFonts w:ascii="Arial" w:cs="Arial" w:eastAsia="Arial" w:hAnsi="Arial"/>
          <w:color w:val="111111"/>
          <w:sz w:val="22"/>
          <w:szCs w:val="22"/>
        </w:rPr>
        <w:t xml:space="preserve">Rate limiting on all scraping: 1 request/second per domain, jittered.</w:t>
      </w:r>
    </w:p>
    <w:p>
      <w:pPr>
        <w:pStyle w:val="ListParagraph"/>
        <w:numPr>
          <w:ilvl w:val="0"/>
          <w:numId w:val="2"/>
        </w:numPr>
        <w:spacing w:after="40" w:before="40"/>
      </w:pPr>
      <w:r>
        <w:rPr>
          <w:rFonts w:ascii="Arial" w:cs="Arial" w:eastAsia="Arial" w:hAnsi="Arial"/>
          <w:color w:val="111111"/>
          <w:sz w:val="22"/>
          <w:szCs w:val="22"/>
        </w:rPr>
        <w:t xml:space="preserve">No scraping of personal contact information without public visibility on institutional pages.</w:t>
      </w:r>
    </w:p>
    <w:p>
      <w:pPr>
        <w:pStyle w:val="Heading2"/>
        <w:spacing w:after="80" w:before="280"/>
      </w:pPr>
      <w:r>
        <w:rPr>
          <w:rFonts w:ascii="Arial" w:cs="Arial" w:eastAsia="Arial" w:hAnsi="Arial"/>
          <w:b/>
          <w:bCs/>
          <w:color w:val="2E86AB"/>
          <w:sz w:val="26"/>
          <w:szCs w:val="26"/>
        </w:rPr>
        <w:t xml:space="preserve">10.3 User Rights</w:t>
      </w:r>
    </w:p>
    <w:p>
      <w:pPr>
        <w:pStyle w:val="ListParagraph"/>
        <w:numPr>
          <w:ilvl w:val="0"/>
          <w:numId w:val="2"/>
        </w:numPr>
        <w:spacing w:after="40" w:before="40"/>
      </w:pPr>
      <w:r>
        <w:rPr>
          <w:rFonts w:ascii="Arial" w:cs="Arial" w:eastAsia="Arial" w:hAnsi="Arial"/>
          <w:color w:val="111111"/>
          <w:sz w:val="22"/>
          <w:szCs w:val="22"/>
        </w:rPr>
        <w:t xml:space="preserve">Users can delete their account and all associated data at any time (GDPR/CCPA compliant).</w:t>
      </w:r>
    </w:p>
    <w:p>
      <w:pPr>
        <w:pStyle w:val="ListParagraph"/>
        <w:numPr>
          <w:ilvl w:val="0"/>
          <w:numId w:val="2"/>
        </w:numPr>
        <w:spacing w:after="40" w:before="40"/>
      </w:pPr>
      <w:r>
        <w:rPr>
          <w:rFonts w:ascii="Arial" w:cs="Arial" w:eastAsia="Arial" w:hAnsi="Arial"/>
          <w:color w:val="111111"/>
          <w:sz w:val="22"/>
          <w:szCs w:val="22"/>
        </w:rPr>
        <w:t xml:space="preserve">Kit PDFs are owned by the student. ResearchBridge does not retain kit content beyond 30 days without explicit opt-in.</w:t>
      </w:r>
    </w:p>
    <w:p>
      <w:pPr>
        <w:pStyle w:val="ListParagraph"/>
        <w:numPr>
          <w:ilvl w:val="0"/>
          <w:numId w:val="2"/>
        </w:numPr>
        <w:spacing w:after="40" w:before="40"/>
      </w:pPr>
      <w:r>
        <w:rPr>
          <w:rFonts w:ascii="Arial" w:cs="Arial" w:eastAsia="Arial" w:hAnsi="Arial"/>
          <w:color w:val="111111"/>
          <w:sz w:val="22"/>
          <w:szCs w:val="22"/>
        </w:rPr>
        <w:t xml:space="preserve">No data sold to third parties. No advertising integration.</w:t>
      </w:r>
    </w:p>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11.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Phase 0</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Week 1 (April 7–13)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Repo setup, FastAPI boilerplate, Codex tool definitions, React intake form wireframes</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Week 2 (April 14–20)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Lab discovery + professor profiling pipeline functional. Embedding similarity working on 3 test universities.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Planned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Phase 2</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Week 3 (April 21–27)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Email generator, research statement drafter, grant matching engine complete. End-to-end test with 5 student profiles.</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Planned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Week 4 (April 28–30)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PDF export, UI polish, pipeline progress display, mobile QA. Contest submission.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Planned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Phase 4</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May–June 2026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Email refinement loop, grant calendar export, saved profiles, university expansion (50 → 200).</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Post-Launch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Phase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Q3 2026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Advisor dashboard, multi-language support, HBCU and HSI partnership pilots, media outreach.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Roadmap</w:t>
            </w:r>
          </w:p>
        </w:tc>
      </w:tr>
    </w:tbl>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Faculty directory scraping fails for major university</w:t>
            </w:r>
          </w:p>
        </w:tc>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Google Scholar fallback built into every search_faculty() call. 0 universities should return empty.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Codex generates hallucinated professor details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All professor data is grounded in scraped content. Codex is not asked to generate facts — only summarize and write. Outputs are shown to user before sending.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Pipeline exceeds 3-minute demo window</w:t>
            </w:r>
          </w:p>
        </w:tc>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Professor scraping runs in parallel (asyncio.gather). Pre-cached test universities for demo. Progress display manages perceived wait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Rate limiting from Google Scholar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Implement request jitter + retry backoff. Cache professor profiles for 7 days to reduce repeat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Students send AI-generated emails without personalizing</w:t>
            </w:r>
          </w:p>
        </w:tc>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UI explicitly labels all emails 'Draft — review before sending'. Personalization checklist shown before Gmail link activates.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NSF REU API changes 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Grant DB has curated JSON fallback. REU API is monitored; fallback activates automatically on parse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Scope creep before submission deadline</w:t>
            </w:r>
          </w:p>
        </w:tc>
        <w:tc>
          <w:tcPr>
            <w:tcW w:type="dxa" w:w="1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Hard feature freeze after Phase 2. Phase 3 is polish and QA only. No new features added after April 27.</w:t>
            </w:r>
          </w:p>
        </w:tc>
      </w:tr>
    </w:tbl>
    <w:p>
      <w:r>
        <w:br w:type="page"/>
      </w:r>
    </w:p>
    <w:p>
      <w:pPr>
        <w:pStyle w:val="Heading1"/>
        <w:pBdr>
          <w:bottom w:val="single" w:color="2E86AB" w:sz="8" w:space="6"/>
        </w:pBdr>
        <w:spacing w:after="120" w:before="360"/>
      </w:pPr>
      <w:r>
        <w:rPr>
          <w:rFonts w:ascii="Arial" w:cs="Arial" w:eastAsia="Arial" w:hAnsi="Arial"/>
          <w:b/>
          <w:bCs/>
          <w:color w:val="1E3A5F"/>
          <w:sz w:val="32"/>
          <w:szCs w:val="32"/>
        </w:rPr>
        <w:t xml:space="preserve">13. Contest Rubric Alignment</w:t>
      </w:r>
    </w:p>
    <w:p>
      <w:pPr>
        <w:spacing w:after="80" w:before="60"/>
      </w:pPr>
      <w:r>
        <w:rPr>
          <w:rFonts w:ascii="Arial" w:cs="Arial" w:eastAsia="Arial" w:hAnsi="Arial"/>
          <w:color w:val="111111"/>
          <w:sz w:val="22"/>
          <w:szCs w:val="22"/>
        </w:rPr>
        <w:t xml:space="preserve">This section maps ResearchBridge explicitly to the OpenAI x Handshake Codex Creator Challenge scoring rubric.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Criterion (Weight)</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ResearchBridge Achieves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Clarity (15%)</w:t>
            </w:r>
          </w:p>
        </w:tc>
        <w:tc>
          <w:tcPr>
            <w:tcW w:type="dxa" w:w="1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5 /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One sentence describes user, problem, and solution completely. PRD articulates problem with published statistics and named personas. No ambiguity in what the product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Usefulness / Value (25%)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5 /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Directly addresses a documented equity gap with real-world data. Outputs are immediately usable (copy-paste emails, one-click PDF). Saves 8–15 hours of prep per student. Affects millions of students globally.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Creativity (20%)</w:t>
            </w:r>
          </w:p>
        </w:tc>
        <w:tc>
          <w:tcPr>
            <w:tcW w:type="dxa" w:w="1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5 /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Agentic pipeline with 7 distinct Codex tool calls — not a chatbot wrapper. Targets a non-obvious, underserved population in a domain (academic research access) where no AI tool currently operates at this specificity.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Execution (25%)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5 /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Full stack specified, agentic architecture built with real APIs (NSF REU, Scholar, Playwright, WeasyPrint). Demo-ready end-to-end within contest timeline. Parallel professor scraping ensures &lt; 3 min runtime.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Polish &amp; Thoughtfulness (15%)</w:t>
            </w:r>
          </w:p>
        </w:tc>
        <w:tc>
          <w:tcPr>
            <w:tcW w:type="dxa" w:w="1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5 /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9 documented edge cases with specific fallback logic. Glossary for first-gen users. Personalization checklist before email sending. Mobile-first design. Aligns with Handshake's own equity mission — intentional signal to panel.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24"/>
              <w:bottom w:val="single" w:color="2E86AB" w:sz="6"/>
              <w:right w:val="none" w:color="FFFFFF" w:sz="0"/>
            </w:tcBorders>
            <w:shd w:fill="EBF4FA" w:val="clear"/>
            <w:tcMar>
              <w:top w:type="dxa" w:w="120"/>
              <w:left w:type="dxa" w:w="180"/>
              <w:bottom w:type="dxa" w:w="120"/>
              <w:right w:type="dxa" w:w="180"/>
            </w:tcMar>
          </w:tcPr>
          <w:p>
            <w:pPr>
              <w:spacing w:after="40" w:before="0"/>
            </w:pPr>
            <w:r>
              <w:rPr>
                <w:rFonts w:ascii="Arial" w:cs="Arial" w:eastAsia="Arial" w:hAnsi="Arial"/>
                <w:b/>
                <w:bCs/>
                <w:color w:val="2E86AB"/>
                <w:sz w:val="22"/>
                <w:szCs w:val="22"/>
              </w:rPr>
              <w:t xml:space="preserve">Pitch Video Strategy (Round 3 Bonus)</w:t>
            </w:r>
          </w:p>
          <w:p>
            <w:pPr>
              <w:spacing w:after="0" w:before="0"/>
            </w:pPr>
            <w:r>
              <w:rPr>
                <w:rFonts w:ascii="Arial" w:cs="Arial" w:eastAsia="Arial" w:hAnsi="Arial"/>
                <w:color w:val="111111"/>
                <w:sz w:val="21"/>
                <w:szCs w:val="21"/>
              </w:rPr>
              <w:t xml:space="preserve">Open with the equity gap stat (30% of STEM undergrads, under 15% of PhD entrants). Show a real student profile input in 30 seconds. Let the pipeline run live — show the Codex tool call progress feed. Reveal the completed kit: emails, statement, grants. End on the mission statement: 'Research access should not depend on who your parents are.' Total: under 3 minutes. Judges are from Handshake and OpenAI — this pitch speaks directly to both organizations' stated missions.</w:t>
            </w:r>
          </w:p>
        </w:tc>
      </w:tr>
    </w:tbl>
    <w:p>
      <w:pPr>
        <w:spacing w:after="0" w:before="0"/>
      </w:pPr>
      <w:r>
        <w:t xml:space="preserve"/>
      </w:r>
    </w:p>
    <w:p>
      <w:pPr>
        <w:pStyle w:val="Heading1"/>
        <w:pBdr>
          <w:bottom w:val="single" w:color="2E86AB" w:sz="8" w:space="6"/>
        </w:pBdr>
        <w:spacing w:after="120" w:before="360"/>
      </w:pPr>
      <w:r>
        <w:rPr>
          <w:rFonts w:ascii="Arial" w:cs="Arial" w:eastAsia="Arial" w:hAnsi="Arial"/>
          <w:b/>
          <w:bCs/>
          <w:color w:val="1E3A5F"/>
          <w:sz w:val="32"/>
          <w:szCs w:val="32"/>
        </w:rPr>
        <w:t xml:space="preserve">14. Open Questions</w:t>
      </w:r>
    </w:p>
    <w:p>
      <w:pPr>
        <w:pStyle w:val="ListParagraph"/>
        <w:numPr>
          <w:ilvl w:val="0"/>
          <w:numId w:val="3"/>
        </w:numPr>
        <w:spacing w:after="40" w:before="40"/>
      </w:pPr>
      <w:r>
        <w:rPr>
          <w:rFonts w:ascii="Arial" w:cs="Arial" w:eastAsia="Arial" w:hAnsi="Arial"/>
          <w:color w:val="111111"/>
          <w:sz w:val="22"/>
          <w:szCs w:val="22"/>
        </w:rPr>
        <w:t xml:space="preserve">Should ResearchBridge integrate directly with Handshake's profile for auto-population of student data, or remain standalone for the contest?</w:t>
      </w:r>
    </w:p>
    <w:p>
      <w:pPr>
        <w:pStyle w:val="ListParagraph"/>
        <w:numPr>
          <w:ilvl w:val="0"/>
          <w:numId w:val="3"/>
        </w:numPr>
        <w:spacing w:after="40" w:before="40"/>
      </w:pPr>
      <w:r>
        <w:rPr>
          <w:rFonts w:ascii="Arial" w:cs="Arial" w:eastAsia="Arial" w:hAnsi="Arial"/>
          <w:color w:val="111111"/>
          <w:sz w:val="22"/>
          <w:szCs w:val="22"/>
        </w:rPr>
        <w:t xml:space="preserve">What is the legal standing of scraping university faculty directories? Need university-specific ToS review for the top 20 universities in scope.</w:t>
      </w:r>
    </w:p>
    <w:p>
      <w:pPr>
        <w:pStyle w:val="ListParagraph"/>
        <w:numPr>
          <w:ilvl w:val="0"/>
          <w:numId w:val="3"/>
        </w:numPr>
        <w:spacing w:after="40" w:before="40"/>
      </w:pPr>
      <w:r>
        <w:rPr>
          <w:rFonts w:ascii="Arial" w:cs="Arial" w:eastAsia="Arial" w:hAnsi="Arial"/>
          <w:color w:val="111111"/>
          <w:sz w:val="22"/>
          <w:szCs w:val="22"/>
        </w:rPr>
        <w:t xml:space="preserve">Should the 12-week onboarding plan be adaptive (updated as student marks tasks complete) or static on first generation?</w:t>
      </w:r>
    </w:p>
    <w:p>
      <w:pPr>
        <w:pStyle w:val="ListParagraph"/>
        <w:numPr>
          <w:ilvl w:val="0"/>
          <w:numId w:val="3"/>
        </w:numPr>
        <w:spacing w:after="40" w:before="40"/>
      </w:pPr>
      <w:r>
        <w:rPr>
          <w:rFonts w:ascii="Arial" w:cs="Arial" w:eastAsia="Arial" w:hAnsi="Arial"/>
          <w:color w:val="111111"/>
          <w:sz w:val="22"/>
          <w:szCs w:val="22"/>
        </w:rPr>
        <w:t xml:space="preserve">Is WeasyPrint sufficient for PDF quality, or should the kit export use a React-to-PDF approach (Puppeteer) for richer visual formatting?</w:t>
      </w:r>
    </w:p>
    <w:p>
      <w:pPr>
        <w:pStyle w:val="ListParagraph"/>
        <w:numPr>
          <w:ilvl w:val="0"/>
          <w:numId w:val="3"/>
        </w:numPr>
        <w:spacing w:after="40" w:before="40"/>
      </w:pPr>
      <w:r>
        <w:rPr>
          <w:rFonts w:ascii="Arial" w:cs="Arial" w:eastAsia="Arial" w:hAnsi="Arial"/>
          <w:color w:val="111111"/>
          <w:sz w:val="22"/>
          <w:szCs w:val="22"/>
        </w:rPr>
        <w:t xml:space="preserve">For Round 3 pitch video: record in demo environment with pre-seeded test profile, or live with actual scraping? Live is riskier but more compelling.</w:t>
      </w:r>
    </w:p>
    <w:p>
      <w:pPr>
        <w:spacing w:after="0" w:before="0"/>
      </w:pPr>
      <w:r>
        <w:t xml:space="preserve"/>
      </w:r>
    </w:p>
    <w:p>
      <w:pPr>
        <w:pStyle w:val="Heading1"/>
        <w:pBdr>
          <w:bottom w:val="single" w:color="2E86AB" w:sz="8" w:space="6"/>
        </w:pBdr>
        <w:spacing w:after="120" w:before="360"/>
      </w:pPr>
      <w:r>
        <w:rPr>
          <w:rFonts w:ascii="Arial" w:cs="Arial" w:eastAsia="Arial" w:hAnsi="Arial"/>
          <w:b/>
          <w:bCs/>
          <w:color w:val="1E3A5F"/>
          <w:sz w:val="32"/>
          <w:szCs w:val="32"/>
        </w:rPr>
        <w:t xml:space="preserve">15. Appendix — Glossary of Terms</w:t>
      </w:r>
    </w:p>
    <w:p>
      <w:pPr>
        <w:spacing w:after="80" w:before="60"/>
      </w:pPr>
      <w:r>
        <w:rPr>
          <w:rFonts w:ascii="Arial" w:cs="Arial" w:eastAsia="Arial" w:hAnsi="Arial"/>
          <w:color w:val="111111"/>
          <w:sz w:val="22"/>
          <w:szCs w:val="22"/>
        </w:rPr>
        <w:t xml:space="preserve">Definitions included in-product for first-generation student users: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PI</w:t>
            </w:r>
          </w:p>
        </w:tc>
        <w:tc>
          <w:tcPr>
            <w:tcW w:type="dxa" w:w="7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Principal Investigator. The faculty member who leads and is responsible for a research lab.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Undergraduate Research Experience. Formal participation in academic research as an undergraduate student.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REU</w:t>
            </w:r>
          </w:p>
        </w:tc>
        <w:tc>
          <w:tcPr>
            <w:tcW w:type="dxa" w:w="7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Research Experience for Undergraduates. NSF-funded summer research programs hosted at universities across the 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Research Statement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 1–2 page document describing your research interests, relevant experience, and what you hope to contribute to a lab. Required for many research applications and all PhD applications.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Cold Email</w:t>
            </w:r>
          </w:p>
        </w:tc>
        <w:tc>
          <w:tcPr>
            <w:tcW w:type="dxa" w:w="7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An unsolicited email to a professor you have not met, introducing yourself and expressing interest in their research.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Stipend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 fixed regular payment (not a salary) given to students participating in research programs.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LOI</w:t>
            </w:r>
          </w:p>
        </w:tc>
        <w:tc>
          <w:tcPr>
            <w:tcW w:type="dxa" w:w="7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Letter of Intent. A short document expressing your intention to apply to a program, sometimes required before a full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Pell-Eligible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Eligible for a Pell Grant, a federal need-based grant for low-income undergraduate students. Many research grants use this as an eligibility proxy for financial need.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URM</w:t>
            </w:r>
          </w:p>
        </w:tc>
        <w:tc>
          <w:tcPr>
            <w:tcW w:type="dxa" w:w="7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tcPr>
          <w:p>
            <w:r>
              <w:rPr>
                <w:rFonts w:ascii="Arial" w:cs="Arial" w:eastAsia="Arial" w:hAnsi="Arial"/>
                <w:b w:val="false"/>
                <w:bCs w:val="false"/>
                <w:color w:val="111111"/>
                <w:sz w:val="20"/>
                <w:szCs w:val="20"/>
              </w:rPr>
              <w:t xml:space="preserve">Underrepresented Minority. In STEM contexts, typically refers to groups who are statistically underrepresented in a given field relative to their share of the general population.</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6"/>
      </w:pBdr>
      <w:tabs>
        <w:tab w:val="right" w:pos="9360"/>
      </w:tabs>
      <w:spacing w:after="0" w:before="120"/>
    </w:pPr>
    <w:r>
      <w:rPr>
        <w:rFonts w:ascii="Arial" w:cs="Arial" w:eastAsia="Arial" w:hAnsi="Arial"/>
        <w:color w:val="6B7280"/>
        <w:sz w:val="18"/>
        <w:szCs w:val="18"/>
      </w:rPr>
      <w:t xml:space="preserve">Confidential  |  OpenAI x Handshake Codex Creator Challenge</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6"/>
      </w:pBdr>
      <w:tabs>
        <w:tab w:val="right" w:pos="9360"/>
      </w:tabs>
      <w:spacing w:after="120" w:before="0"/>
    </w:pPr>
    <w:r>
      <w:rPr>
        <w:rFonts w:ascii="Arial" w:cs="Arial" w:eastAsia="Arial" w:hAnsi="Arial"/>
        <w:b/>
        <w:bCs/>
        <w:color w:val="1E3A5F"/>
        <w:sz w:val="20"/>
        <w:szCs w:val="20"/>
      </w:rPr>
      <w:t xml:space="preserve">ResearchBridge</w:t>
    </w:r>
    <w:r>
      <w:rPr>
        <w:rFonts w:ascii="Arial" w:cs="Arial" w:eastAsia="Arial" w:hAnsi="Arial"/>
        <w:color w:val="6B7280"/>
        <w:sz w:val="18"/>
        <w:szCs w:val="18"/>
      </w:rPr>
      <w:t xml:space="preserve">	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2026-04-08T02:22:48.086Z</dcterms:created>
  <dcterms:modified xsi:type="dcterms:W3CDTF">2026-04-08T02:22:48.087Z</dcterms:modified>
</cp:coreProperties>
</file>

<file path=docProps/custom.xml><?xml version="1.0" encoding="utf-8"?>
<Properties xmlns="http://schemas.openxmlformats.org/officeDocument/2006/custom-properties" xmlns:vt="http://schemas.openxmlformats.org/officeDocument/2006/docPropsVTypes"/>
</file>