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4"/>
        <w:gridCol w:w="1701"/>
      </w:tblGrid>
      <w:tr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000" cy="5474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547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4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4"/>
              </w:rPr>
              <w:t>GABARITO COMENTADO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Exercício de Aprendizagem e Aproveitamento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 Unidade – 2026.2</w:t>
            </w:r>
          </w:p>
        </w:tc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55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5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1F4E78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TÓPICOS INTEGRADORES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1"/>
              </w:rPr>
              <w:t>VERSÃO A • 5º período</w:t>
            </w:r>
          </w:p>
        </w:tc>
      </w:tr>
    </w:tbl>
    <w:p>
      <w:pPr>
        <w:spacing w:before="320" w:after="80" w:line="259" w:lineRule="auto"/>
      </w:pPr>
      <w:r>
        <w:rPr>
          <w:rFonts w:ascii="Arial" w:hAnsi="Arial"/>
          <w:b/>
          <w:i w:val="0"/>
          <w:color w:val="1F4E78"/>
          <w:sz w:val="22"/>
        </w:rPr>
        <w:t>RESPOSTAS-MODELO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As respostas abaixo estão escritas em primeira pessoa, com o desenvolvimento essencial que eu apresentaria como aluno. Nas questões discursivas, são modelos de resposta; outras redações corretas também podem ser aceitas.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Observação: este material é um gabarito comentado para correção e estudo, não uma reprodução da folha de prova.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1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Os grupos tiveram casos diferentes e não houve aleatorização.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Mesmo com 37 acertos e 6,2 minutos, isso é apenas um sinal promissor, não prova causalidade.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Eu pediria um experimento controlado para verificar se a condição com testes causou a melhora.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2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versão B mudou rótulo, ordem, cor, conteúdo e latência ao mesmo tempo.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Como várias variáveis mudaram, não consigo atribuir a redução do tempo somente ao rótulo.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Eu isolaria uma mudança por vez ou usaria um desenho experimental apropriado.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3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 contrato público define campos, significados e comportamento.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Como a equipe trocou o provedor e manteve esse contrato, os consumidores não precisaram conhecer a implementação.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Logo, a interface protege os consumidores desde que a semântica prometida seja preservada.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4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 tipo do SDK aparece em 27 arquivos, então a aplicação está acoplada ao fornecedor.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Eu criaria um contrato interno e um adaptador na fronteira para traduzir os tipos.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Assim, a troca futura fica concentrada e pode ser testada sem espalhar a tecnologia externa.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5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A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Governança decide regras, responsabilidades e políticas.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Gestão operacionaliza essas decisões com validações, catálogo, monitoramento e correções.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Portanto, os papéis são diferentes e complementares.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6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transformaria “recuperação de senha” em um contrato verificável.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Contexto: permitir que um usuário redefina a senha com segurança, sem revelar se o e-mail está cadastrado.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Requisitos: token aleatório, único e com expiração; armazenar somente o hash do token; responder de forma genérica para e-mails existentes ou não.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Exceções: token expirado ou já usado retorna erro seguro; excesso de tentativas gera limitação e registro de auditoria.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Componentes: endpoint, serviço de tokens, banco, envio de e-mail, rate limiter e logs.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color w:val="000000"/>
          <w:sz w:val="20"/>
        </w:rPr>
        <w:t>Aceitação: token expira e não pode ser reutilizado; token bruto não aparece em logs/banco; respostas para e-mail existente e inexistente não permitem enumeração.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6. </w:t>
      </w:r>
      <w:r>
        <w:rPr>
          <w:rFonts w:ascii="Arial" w:hAnsi="Arial"/>
          <w:b w:val="0"/>
          <w:i w:val="0"/>
          <w:color w:val="000000"/>
          <w:sz w:val="20"/>
        </w:rPr>
        <w:t>Eu validaria com testes positivos, negativos, segurança, inspeção de logs e teste de repetição. Caminho feliz não basta porque não testa abuso, expiração, vazamento ou privacidade.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7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combinaria as três abordagens em níveis diferentes.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Lean Startup trataria a incerteza de valor: hipótese, experimento pequeno e métrica de aprendizagem.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Scrum organizaria o incremento quinzenal, com backlog, papéis, planejamento, revisão e retrospectiva.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Kanban trataria a fila de revisão, com limites de WIP, visualização do fluxo e medição do tempo de ciclo.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Risco do uso mecânico: Lean Startup pode virar experimento sem decisão; Scrum pode virar cerimônia sem valor; Kanban pode virar quadro sem limite real de trabalho.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8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 pipeline guardou apenas projeto e quantidade, descartando identificador, versão, origem e horários.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Sem esses metadados, não consigo localizar os eventos afetados nem reprocessar somente as partições corretas.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Logo, a lacuna é perda de proveniência e reprocessabilidade.</w:t>
      </w:r>
    </w:p>
    <w:sectPr w:rsidR="00FC693F" w:rsidRPr="0006063C" w:rsidSect="00034616">
      <w:footerReference w:type="default" r:id="rId9"/>
      <w:pgSz w:w="11906" w:h="16838"/>
      <w:pgMar w:top="709" w:right="850" w:bottom="709" w:left="850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rial" w:hAnsi="Arial"/>
        <w:b w:val="0"/>
        <w:i w:val="0"/>
        <w:color w:val="666666"/>
        <w:sz w:val="16"/>
      </w:rPr>
      <w:t xml:space="preserve">Gabarito comentado • I Unidade • 2026.2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 comentado — TÓPICOS INTEGRADORES — VERSÃO A</dc:title>
  <dc:subject/>
  <dc:creator>Cayo Oliveira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