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Lines w:val="0"/>
        <w:numPr>
          <w:ilvl w:val="0"/>
          <w:numId w:val="1"/>
        </w:numPr>
        <w:spacing w:before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5634355</wp:posOffset>
            </wp:positionH>
            <wp:positionV relativeFrom="paragraph">
              <wp:posOffset>-236844</wp:posOffset>
            </wp:positionV>
            <wp:extent cx="812800" cy="818515"/>
            <wp:effectExtent b="0" l="0" r="0" t="0"/>
            <wp:wrapSquare wrapText="bothSides" distB="0" distT="0" distL="114300" distR="114300"/>
            <wp:docPr descr="Resultado de imagem para logomarca sistemas de informaÃ§Ã£o png" id="6" name="image4.png"/>
            <a:graphic>
              <a:graphicData uri="http://schemas.openxmlformats.org/drawingml/2006/picture">
                <pic:pic>
                  <pic:nvPicPr>
                    <pic:cNvPr descr="Resultado de imagem para logomarca sistemas de informaÃ§Ã£o png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185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-88257</wp:posOffset>
            </wp:positionH>
            <wp:positionV relativeFrom="paragraph">
              <wp:posOffset>-363212</wp:posOffset>
            </wp:positionV>
            <wp:extent cx="1363345" cy="963930"/>
            <wp:effectExtent b="0" l="0" r="0" t="0"/>
            <wp:wrapSquare wrapText="bothSides" distB="0" distT="0" distL="114300" distR="1143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3345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2373314</wp:posOffset>
                </wp:positionH>
                <wp:positionV relativeFrom="paragraph">
                  <wp:posOffset>-14283</wp:posOffset>
                </wp:positionV>
                <wp:extent cx="1819275" cy="51435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64938" y="3551400"/>
                          <a:ext cx="176212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NOTA: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2373314</wp:posOffset>
                </wp:positionH>
                <wp:positionV relativeFrom="paragraph">
                  <wp:posOffset>-14283</wp:posOffset>
                </wp:positionV>
                <wp:extent cx="1819275" cy="51435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9275" cy="514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1" w:sz="4" w:val="single"/>
        </w:pBdr>
        <w:spacing w:after="0"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Credenciada e Autorizada pelo MEC, Portaria n.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vertAlign w:val="super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. 644 de 28 de março de 2001 – Publicado no  D.O.U.  em  02/04/2001</w:t>
      </w:r>
    </w:p>
    <w:p w:rsidR="00000000" w:rsidDel="00000000" w:rsidP="00000000" w:rsidRDefault="00000000" w:rsidRPr="00000000" w14:paraId="00000007">
      <w:pPr>
        <w:pBdr>
          <w:top w:color="000000" w:space="1" w:sz="4" w:val="single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Curso de Sistemas Informação – Reconhecido pela Portaria nº 220 de 01 de Novembro de 2012</w:t>
      </w:r>
    </w:p>
    <w:p w:rsidR="00000000" w:rsidDel="00000000" w:rsidP="00000000" w:rsidRDefault="00000000" w:rsidRPr="00000000" w14:paraId="00000008">
      <w:pPr>
        <w:tabs>
          <w:tab w:val="center" w:leader="none" w:pos="4252"/>
          <w:tab w:val="right" w:leader="none" w:pos="8504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center" w:leader="none" w:pos="4252"/>
          <w:tab w:val="right" w:leader="none" w:pos="8504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6410926"/>
        <w:tag w:val="goog_rdk_0"/>
      </w:sdtPr>
      <w:sdtContent>
        <w:tbl>
          <w:tblPr>
            <w:tblStyle w:val="Table1"/>
            <w:tblW w:w="10431.0" w:type="dxa"/>
            <w:jc w:val="left"/>
            <w:tbl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  <w:insideH w:color="000000" w:space="0" w:sz="18" w:val="single"/>
              <w:insideV w:color="000000" w:space="0" w:sz="18" w:val="single"/>
            </w:tblBorders>
            <w:tblLayout w:type="fixed"/>
            <w:tblLook w:val="0000"/>
          </w:tblPr>
          <w:tblGrid>
            <w:gridCol w:w="10431"/>
            <w:tblGridChange w:id="0">
              <w:tblGrid>
                <w:gridCol w:w="10431"/>
              </w:tblGrid>
            </w:tblGridChange>
          </w:tblGrid>
          <w:tr>
            <w:trPr>
              <w:cantSplit w:val="0"/>
              <w:trHeight w:val="373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A">
                <w:pPr>
                  <w:tabs>
                    <w:tab w:val="center" w:leader="none" w:pos="4419"/>
                    <w:tab w:val="right" w:leader="none" w:pos="8838"/>
                  </w:tabs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EXERCÍCIO DE APRENDIZAGEM E APROVEITAMENTO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B">
                <w:pPr>
                  <w:tabs>
                    <w:tab w:val="center" w:leader="none" w:pos="4419"/>
                    <w:tab w:val="right" w:leader="none" w:pos="8838"/>
                  </w:tabs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 I UNIDADE – 2026.2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C">
      <w:pPr>
        <w:spacing w:after="0" w:line="240" w:lineRule="auto"/>
        <w:ind w:right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right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Disciplina: ANÁLISE EXPLORATÓRIA DE DADOS (ELETIVA IV)   Curso: Sistemas de Informação</w:t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Período: 8     Data: ___/___/ 2026</w:t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Prof(a).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CAYO OLIVEIRA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     Aluno(a):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single"/>
          <w:rtl w:val="0"/>
        </w:rPr>
        <w:t xml:space="preserve">            ___________ 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Instruções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76" w:lineRule="auto"/>
        <w:ind w:left="456" w:hanging="435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O aluno dispõe de duas horas para realizar este exercício de aprendizagem e aproveitament5o;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76" w:lineRule="auto"/>
        <w:ind w:left="456" w:hanging="435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O aluno deve indicar o nome na folha de respostas (se houver), bem como nesta folha de perguntas;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76" w:lineRule="auto"/>
        <w:ind w:left="456" w:hanging="435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 interpretação cabe, exclusivamente, ao aluno.  Dirija-se ao professor ou ao fiscal de sala apenas em caso de texto ilegível.  Durante a realização, favor,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manter desligado e guardado aparelho celular ou qualquer outro tipo de dispositivo eletrônico de transmissão de dados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.  Proibido solicitar material por empréstimo, tais como borracha ou corretivo.  Guardar todo material didático sob a cadeira.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76" w:lineRule="auto"/>
        <w:ind w:left="456" w:hanging="435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 ordem dos quesitos não altera a correção, desde que as respostas se reportem ao quesito de que tratam;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76" w:lineRule="auto"/>
        <w:ind w:left="456" w:hanging="435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As respostas devem ser fundamentas; serão verificadas a articulação de idéias e a clareza do raciocínio. A argumentação é indispensável;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76" w:lineRule="auto"/>
        <w:ind w:left="456" w:hanging="435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O valor de cada questão estará apresentado logo após o enunciado.  Serão consideradas apenas as respostas escritas com caneta preta ou azul;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76" w:lineRule="auto"/>
        <w:ind w:left="456" w:hanging="435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Outras situações não elencadas aqui serão julgadas pelo professor da disciplina, conforme Regimento da faculdade.</w:t>
      </w:r>
    </w:p>
    <w:p w:rsidR="00000000" w:rsidDel="00000000" w:rsidP="00000000" w:rsidRDefault="00000000" w:rsidRPr="00000000" w14:paraId="0000001A">
      <w:pPr>
        <w:spacing w:after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center" w:leader="none" w:pos="4252"/>
          <w:tab w:val="right" w:leader="none" w:pos="8504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33994306"/>
        <w:tag w:val="goog_rdk_1"/>
      </w:sdtPr>
      <w:sdtContent>
        <w:tbl>
          <w:tblPr>
            <w:tblStyle w:val="Table2"/>
            <w:tblW w:w="10431.0" w:type="dxa"/>
            <w:jc w:val="left"/>
            <w:tbl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  <w:insideH w:color="000000" w:space="0" w:sz="18" w:val="single"/>
              <w:insideV w:color="000000" w:space="0" w:sz="18" w:val="single"/>
            </w:tblBorders>
            <w:tblLayout w:type="fixed"/>
            <w:tblLook w:val="0000"/>
          </w:tblPr>
          <w:tblGrid>
            <w:gridCol w:w="10431"/>
            <w:tblGridChange w:id="0">
              <w:tblGrid>
                <w:gridCol w:w="10431"/>
              </w:tblGrid>
            </w:tblGridChange>
          </w:tblGrid>
          <w:tr>
            <w:trPr>
              <w:cantSplit w:val="0"/>
              <w:trHeight w:val="373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1C">
                <w:pPr>
                  <w:spacing w:after="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Esta avaliação contém seis questões objetivas e duas discursivas. Respostas sem desenvolvimento suficiente poderão não receber pontuação integral. As questões que precisam de cálculos só serão aceitas com seus respectivos cálculos. </w:t>
                </w:r>
              </w:p>
              <w:p w:rsidR="00000000" w:rsidDel="00000000" w:rsidP="00000000" w:rsidRDefault="00000000" w:rsidRPr="00000000" w14:paraId="0000001D">
                <w:pPr>
                  <w:spacing w:after="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spacing w:after="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36"/>
                    <w:szCs w:val="36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O uso não autorizado de inteligência artificial durante a avaliação implicará a anulação da questão.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F">
      <w:pPr>
        <w:spacing w:after="0" w:line="240" w:lineRule="auto"/>
        <w:ind w:right="36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05.0" w:type="dxa"/>
        <w:jc w:val="center"/>
        <w:tblLayout w:type="fixed"/>
        <w:tblLook w:val="0400"/>
      </w:tblPr>
      <w:tblGrid>
        <w:gridCol w:w="8334"/>
        <w:gridCol w:w="1871"/>
        <w:tblGridChange w:id="0">
          <w:tblGrid>
            <w:gridCol w:w="8334"/>
            <w:gridCol w:w="18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QUESTÃO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="259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OBJETIVA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um estudo sobre hábitos de estudo no ensino superior, uma equipe de pesquisadores analisou cinco pares de dados formados pelo número de horas estudadas e pela nota final de cada estudante. Para preservar a correspondência entre as observações, cada estudante foi considerado como uma unidade de análise.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Após centralizar as variáveis em torno de suas respectivas médias, foram obtidos os seguintes resultados: a soma dos produtos dos desvios entre horas estudadas e notas foi igual a 16; a soma dos quadrados dos desvios das horas estudadas foi igual a 10; e a soma dos quadrados dos desvios das notas foi igual a 36. O objetivo da equipe era medir a intensidade e a direção da associação linear entre as variáveis, sem interpretar essa associação como evidência de causalidade.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A)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A correlação de Pearson é aproximadamente 0,843,não  indicando uma associação linear positiva forte entre as horas de estudo e as notas.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B)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A correlação de Pearson é aproximadamente 0,843, indicando uma associação linear positiva fraca entre as horas de estudo e as notas, sem permitir afirmar, isoladamente, que uma variável cause a outra.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0" w:line="245" w:lineRule="auto"/>
        <w:ind w:left="283" w:hanging="283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C) </w:t>
      </w:r>
      <w:r w:rsidDel="00000000" w:rsidR="00000000" w:rsidRPr="00000000">
        <w:rPr>
          <w:sz w:val="19"/>
          <w:szCs w:val="19"/>
          <w:rtl w:val="0"/>
        </w:rPr>
        <w:t xml:space="preserve">A correlação é aproximadamente 0,348, indicando uma associação linear fraca entre as variáveis.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D)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A correlação de Pearson é aproximadamente -0,843, indicando uma associação linear negativa forte entre as horas de estudo e as notas, sem permitir afirmar, isoladamente, que uma variável cause a outra.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0" w:line="245" w:lineRule="auto"/>
        <w:ind w:left="283" w:hanging="283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E) </w:t>
      </w:r>
      <w:r w:rsidDel="00000000" w:rsidR="00000000" w:rsidRPr="00000000">
        <w:rPr>
          <w:sz w:val="19"/>
          <w:szCs w:val="19"/>
          <w:rtl w:val="0"/>
        </w:rPr>
        <w:t xml:space="preserve">A correlação de Pearson é aproximadamente 0,843, indicando uma associação linear positiva forte entre as horas de estudo e as notas, sem permitir afirmar, isoladamente, que uma variável cause a outra.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0" w:line="245" w:lineRule="auto"/>
        <w:ind w:left="283" w:hanging="283"/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06.0" w:type="dxa"/>
        <w:jc w:val="center"/>
        <w:tblLayout w:type="fixed"/>
        <w:tblLook w:val="04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e7e6e6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CÁLCULOS E 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25" w:hRule="atLeast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0205.0" w:type="dxa"/>
        <w:jc w:val="center"/>
        <w:tblLayout w:type="fixed"/>
        <w:tblLook w:val="0400"/>
      </w:tblPr>
      <w:tblGrid>
        <w:gridCol w:w="8334"/>
        <w:gridCol w:w="1871"/>
        <w:tblGridChange w:id="0">
          <w:tblGrid>
            <w:gridCol w:w="8334"/>
            <w:gridCol w:w="18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QUESTÃO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="259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OBJETIVA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before="0" w:line="259" w:lineRule="auto"/>
        <w:rPr/>
      </w:pPr>
      <w:sdt>
        <w:sdtPr>
          <w:id w:val="38173739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0"/>
              <w:szCs w:val="20"/>
              <w:rtl w:val="0"/>
            </w:rPr>
            <w:t xml:space="preserve">A central suspeita que chamados urgentes retornem com maior frequência. A auditoria exige aplicar o critério de independência, em vez de decidir apenas pela comparação visual das porcentagens. Em uma central, U representa chamado urgente e R representa reabertura. Para o período e a população definidos, P(U)=0,20, P(R)=0,14 e P(U∩ R)=0,06. A equipe precisa verificar se conhecer urgência altera a chance de reabertura usando o critério do produto, sem confundir independência com exclusão mútua.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2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Calcule P(U)*P(R), compare com a interseção observada e selecione a interpretação correta sobre independência.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Urgência e reabertura seriam independentes porque 0,06 é menor que 0,14; essa comparação não testa o produto das marginais.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Os eventos seriam independentes porque descrevem categorias diferentes; a natureza dos nomes não determina independência.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Os eventos não seriam independentes, pois 0,20×0,14=0,028, diferente da interseção observada de 0,06.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Os eventos seriam mutuamente exclusivos porque a interseção é positiva; uma interseção positiva demonstra justamente que podem ocorrer juntos.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Os eventos seriam complementares porque as probabilidades somam 0,34; complementares deveriam somar 1 e não ocorrer conjuntamente.</w:t>
      </w:r>
      <w:r w:rsidDel="00000000" w:rsidR="00000000" w:rsidRPr="00000000">
        <w:rPr>
          <w:rtl w:val="0"/>
        </w:rPr>
      </w:r>
    </w:p>
    <w:tbl>
      <w:tblPr>
        <w:tblStyle w:val="Table6"/>
        <w:tblW w:w="10206.0" w:type="dxa"/>
        <w:jc w:val="center"/>
        <w:tblLayout w:type="fixed"/>
        <w:tblLook w:val="04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e7e6e6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CÁLCULOS E 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45" w:hRule="atLeast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10205.0" w:type="dxa"/>
        <w:jc w:val="center"/>
        <w:tblLayout w:type="fixed"/>
        <w:tblLook w:val="0400"/>
      </w:tblPr>
      <w:tblGrid>
        <w:gridCol w:w="8334"/>
        <w:gridCol w:w="1871"/>
        <w:tblGridChange w:id="0">
          <w:tblGrid>
            <w:gridCol w:w="8334"/>
            <w:gridCol w:w="18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QUESTÃO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="259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OBJETIVA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indicador foi publicado, mas o pipeline não guardou identificador, versão, horários nem origem. Quando a regra mudou, a equipe já não sabia quais registros e consumidores estavam afetados. Uma tabela possui uma linha por item do pedido, porém o campo total_pedido é repetido em cada item. Um pedido de R</w:t>
      </w:r>
      <w:r w:rsidDel="00000000" w:rsidR="00000000" w:rsidRPr="00000000">
        <w:rPr>
          <w:sz w:val="20"/>
          <w:szCs w:val="20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100 com três itens aparece em três linhas. Um dashboard somou a coluna e publicou R</w:t>
      </w:r>
      <w:r w:rsidDel="00000000" w:rsidR="00000000" w:rsidRPr="00000000">
        <w:rPr>
          <w:sz w:val="20"/>
          <w:szCs w:val="20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300, embora o evento econômico continue sendo um único pedido de R</w:t>
      </w:r>
      <w:r w:rsidDel="00000000" w:rsidR="00000000" w:rsidRPr="00000000">
        <w:rPr>
          <w:sz w:val="20"/>
          <w:szCs w:val="20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100.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2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Para calcular receita sem triplicar,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somar total_pedido nas linhas de item. Somar o total repetido em cada item mantém a triplicação do mesmo evento econômico.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agregar uma vez por pedido ou usar valor do item conforme contrato, declarando o grão antes do cálculo. Declarar o grão permite agregar uma vez por pedido ou somar valores de item compatíveis com o contrato.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tirar média dos totais e multiplicar pela quantidade de itens. Média multiplicada pela quantidade de itens não reconstrói necessariamente o total de pedidos.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remover pedidos com mais de um item. Excluir pedidos legítimos altera a população em vez de corrigir a agregação.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contar linhas como pedidos porque cada linha possui identificador. Linha de item e pedido são unidades distintas, ainda que ambas contenham identificadores.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0" w:line="245" w:lineRule="auto"/>
        <w:ind w:left="283" w:hanging="283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205.0" w:type="dxa"/>
        <w:jc w:val="center"/>
        <w:tblLayout w:type="fixed"/>
        <w:tblLook w:val="0400"/>
      </w:tblPr>
      <w:tblGrid>
        <w:gridCol w:w="8334"/>
        <w:gridCol w:w="1871"/>
        <w:tblGridChange w:id="0">
          <w:tblGrid>
            <w:gridCol w:w="8334"/>
            <w:gridCol w:w="18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QUESTÃO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="259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OBJETIVA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before="0" w:line="259" w:lineRule="auto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Uma manchete interna chamou de crescimento expressivo a passagem de 79% para 81%. O gráfico, com eixo truncado, ampliou visualmente uma diferença real de apenas dois pontos percentuais. Um relatório executivo informa que uma taxa passou de 79% para 81%, diferença de 2 pontos percentuais. O gráfico de barras inicia o eixo em 78,5% e, pela área das barras, faz o segundo resultado parecer várias vezes maior. A revisão deve preservar a mudança observada sem ampliar visualmente sua magnitude.</w:t>
      </w:r>
    </w:p>
    <w:p w:rsidR="00000000" w:rsidDel="00000000" w:rsidP="00000000" w:rsidRDefault="00000000" w:rsidRPr="00000000" w14:paraId="00000058">
      <w:pPr>
        <w:spacing w:after="100" w:before="0" w:line="259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00" w:before="0" w:line="259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403888" cy="255342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3888" cy="2553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spacing w:after="40" w:before="0" w:line="259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268625" cy="1809824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8625" cy="1809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0" w:line="259" w:lineRule="auto"/>
        <w:jc w:val="center"/>
        <w:rPr>
          <w:rFonts w:ascii="Arial" w:cs="Arial" w:eastAsia="Arial" w:hAnsi="Arial"/>
          <w:b w:val="0"/>
          <w:bCs w:val="0"/>
          <w:i w:val="1"/>
          <w:iCs w:val="1"/>
          <w:color w:val="555555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16"/>
          <w:szCs w:val="16"/>
          <w:rtl w:val="0"/>
        </w:rPr>
        <w:t xml:space="preserve">Figura — Taxa mensal representada com eixo de origem zero; os valores são 79% e 81%.</w:t>
      </w:r>
    </w:p>
    <w:p w:rsidR="00000000" w:rsidDel="00000000" w:rsidP="00000000" w:rsidRDefault="00000000" w:rsidRPr="00000000" w14:paraId="0000005C">
      <w:pPr>
        <w:spacing w:after="80" w:before="0" w:line="259" w:lineRule="auto"/>
        <w:jc w:val="left"/>
        <w:rPr>
          <w:i w:val="1"/>
          <w:iCs w:val="1"/>
          <w:color w:val="55555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2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Compare a Figura editorial com o gráfico de eixo iniciado em 78,5% descrito no texto. Selecione a revisão que comunica os mesmos dados sem exagerar sua magnitude.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O eixo truncado deveria ser mantido para destacar qualquer mudança; essa escolha amplia visualmente a magnitude sem explicar a escala.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Barras com origem zero ou pontos com escala e valores explícitos comunicariam corretamente a variação de 79% para 81%, isto é, 2 pontos percentuais.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Os percentuais deveriam virar volumes sem denominadores; assim, a comparação perderia a base necessária à interpretação.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O efeito tridimensional deveria ser acrescentado para enfatizar profundidade; a perspectiva introduziria nova distorção.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Os rótulos do eixo deveriam ser retirados para evitar viés; sem escala, o leitor não conseguiria verificar a diferença publicada.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0" w:line="245" w:lineRule="auto"/>
        <w:ind w:left="283" w:hanging="283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205.0" w:type="dxa"/>
        <w:jc w:val="center"/>
        <w:tblLayout w:type="fixed"/>
        <w:tblLook w:val="0400"/>
      </w:tblPr>
      <w:tblGrid>
        <w:gridCol w:w="8334"/>
        <w:gridCol w:w="1871"/>
        <w:tblGridChange w:id="0">
          <w:tblGrid>
            <w:gridCol w:w="8334"/>
            <w:gridCol w:w="18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QUESTÃO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="259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DISCURSIVA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Uma área de negócio solicita uma recomendação final, mas os dados apresentam problemas de qualidade, diferenças entre grupos e risco de interpretação causal. A resposta deve tornar o caminho analítico auditável.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Um painel público permite filtrar evasão por curso, turno e faixa etária. Em alguns recortes restam três ou quatro estudantes, e servidores locais conhecem a composição das turmas. A instituição precisa informar desempenho sem revelar situações individuais nem ampliar a finalidade original.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2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Proponha uma política para células pequenas com limiar ou agregação justificada, finalidade, perfis de acesso, retenção e comunicação do risco residual. Inclua uma forma de testar reidentificação.</w:t>
      </w:r>
      <w:r w:rsidDel="00000000" w:rsidR="00000000" w:rsidRPr="00000000">
        <w:rPr>
          <w:rtl w:val="0"/>
        </w:rPr>
      </w:r>
    </w:p>
    <w:tbl>
      <w:tblPr>
        <w:tblStyle w:val="Table10"/>
        <w:tblW w:w="10206.0" w:type="dxa"/>
        <w:jc w:val="center"/>
        <w:tblLayout w:type="fixed"/>
        <w:tblLook w:val="04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e7e6e6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RESPOSTA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5.596618652344" w:hRule="atLeast"/>
          <w:tblHeader w:val="0"/>
        </w:trPr>
        <w:tc>
          <w:tcPr>
            <w:tcBorders>
              <w:left w:color="7f7f7f" w:space="0" w:sz="6" w:val="single"/>
              <w:bottom w:color="bfbfbf" w:space="0" w:sz="4" w:val="single"/>
              <w:right w:color="7f7f7f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10205.0" w:type="dxa"/>
        <w:jc w:val="center"/>
        <w:tblLayout w:type="fixed"/>
        <w:tblLook w:val="0400"/>
      </w:tblPr>
      <w:tblGrid>
        <w:gridCol w:w="8334"/>
        <w:gridCol w:w="1871"/>
        <w:tblGridChange w:id="0">
          <w:tblGrid>
            <w:gridCol w:w="8334"/>
            <w:gridCol w:w="18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QUESTÃO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="259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OBJETIVA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título do painel anuncia crescimento de 12%, mas não informa se a organização vendeu mais, apenas reajustou preços ou perdeu rentabilidade. A chefia pede evidência antes de renovar a campanha. Em reunião de orçamento, um dashboard mostra aumento de 12% na receita, mas omite inflação, quantidade vendida, cancelamentos e margem. Antes de ampliar a campanha, a direção exige uma investigação que separe crescimento nominal, volume e rentabilidade.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2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Antes da decisão, a análise deve prioritariamente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atribuir causalidade à campanha porque ela ocorreu antes do aumento. Sequência temporal não basta para atribuir o crescimento à campanha.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comparar volume, preço, margem e cancelamentos com base e grupos comparáveis, declarando outras mudanças do período. Volume, preço, margem, cancelamentos e comparação adequada distinguem crescimento nominal de resultado sustentável.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trocar receita por curtidas, pois engajamento antecipa qualquer resultado financeiro. Curtidas podem compor outra análise, mas não substituem receita, volume e rentabilidade do caso.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ocultar a comparação histórica para evitar influência de sazonalidade. Retirar a série histórica impediria controlar sazonalidade e outras mudanças do período.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ampliar imediatamente e avaliar apenas depois, pois dashboards servem à velocidade. Agir antes de compreender denominadores e efeitos pode ampliar uma campanha sem benefício econômico.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before="0" w:line="245" w:lineRule="auto"/>
        <w:ind w:left="283" w:hanging="283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205.0" w:type="dxa"/>
        <w:jc w:val="center"/>
        <w:tblLayout w:type="fixed"/>
        <w:tblLook w:val="0400"/>
      </w:tblPr>
      <w:tblGrid>
        <w:gridCol w:w="8334"/>
        <w:gridCol w:w="1871"/>
        <w:tblGridChange w:id="0">
          <w:tblGrid>
            <w:gridCol w:w="8334"/>
            <w:gridCol w:w="18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QUESTÃO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="259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DISCURSIVA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Um relatório técnico circulou com dois valores diferentes para a variância do mesmo conjunto. A divergência não decorre da aritmética, mas da pergunta: descrever as quatro unidades ou inferir sobre outras semelhantes. Uma equipe calculou os desvios dos valores 2,4,4,6 em torno da média 4 e encontrou soma quadrática 8. Parte do relatório descreve exatamente essas quatro unidades; outra parte pretende usar as quatro como amostra de uma população maior. Os analistas discutem dividir por 4 ou por 3 e precisam justificar a escolha, não apenas citar uma regra.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2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Explique quando cada divisor é apropriado, mostre os dois resultados e justifique n-1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3"/>
        <w:tblW w:w="10206.0" w:type="dxa"/>
        <w:jc w:val="center"/>
        <w:tblLayout w:type="fixed"/>
        <w:tblLook w:val="04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e7e6e6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30.596618652345" w:hRule="atLeast"/>
          <w:tblHeader w:val="0"/>
        </w:trPr>
        <w:tc>
          <w:tcPr>
            <w:tcBorders>
              <w:left w:color="7f7f7f" w:space="0" w:sz="6" w:val="single"/>
              <w:bottom w:color="bfbfbf" w:space="0" w:sz="4" w:val="single"/>
              <w:right w:color="7f7f7f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4"/>
        <w:tblW w:w="10205.0" w:type="dxa"/>
        <w:jc w:val="center"/>
        <w:tblLayout w:type="fixed"/>
        <w:tblLook w:val="0400"/>
      </w:tblPr>
      <w:tblGrid>
        <w:gridCol w:w="8334"/>
        <w:gridCol w:w="1871"/>
        <w:tblGridChange w:id="0">
          <w:tblGrid>
            <w:gridCol w:w="8334"/>
            <w:gridCol w:w="18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QUESTÃO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="259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OBJETIVA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Na reunião mensal, a decisão sobre novos horários apareceu somente depois de uma longa demonstração da ferramenta. O conselho solicitou uma narrativa que ligue contexto, evidência, limite e recomendação.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Uma apresentação à diretoria começa pela ferramenta, percorre 16 gráficos e somente no final menciona a decisão sobre novos horários. Evidências, limites e recomendação aparecem separados, obrigando o público a reconstruir sozinho o argumento. O roteiro precisa servir à decisão, não demonstrar a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2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Selecione a reorganização narrativa que conecta contexto, evidência, limite e recomendação ao público decisor.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reordenar contexto, problema, evidência, limite e recomendação para o público decisor. A sequência coloca a decisão no centro e liga cada evidência e limite à recomendação dirigida ao público.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começar por todas as transformações técnicas. Começar pelas transformações técnicas repete o problema de demonstrar a ferramenta antes da pergunta decisória.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eliminar limites para ganhar clareza. Omitir limites torna a mensagem mais persuasiva, porém menos confiável e contestável.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usar mais transições visuais. Transições visuais não corrigem a ausência de encadeamento lógico entre evidência e 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substituir evidência por depoimento. Depoimento pode complementar contexto, mas não substitui as evidências que sustentam a recomendação.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12" w:type="default"/>
      <w:pgSz w:h="16838" w:w="11906" w:orient="portrait"/>
      <w:pgMar w:bottom="709" w:top="709" w:left="850" w:right="850" w:header="283" w:footer="31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59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I Unidade • 2026.2     |     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onwlgP387Y8cFqBnjFnSFj4+Ig==">CgMxLjAaHwoBMBIaChgICVIUChJ0YWJsZS5qa3lxaGxua285czEaHwoBMRIaChgICVIUChJ0YWJsZS5xeTlucWw2YWVlMGYaJAoBMhIfCh0IB0IZCgVBcmlhbBIQQXJpYWwgVW5pY29kZSBNUzgAciExcEVjaXdNSk52NW52clhHRVBEUTdlb3ZtZFNNdkRYXzM=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Cayo Oliveira</dc:creator>
</cp:coreProperties>
</file>