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Lines w:val="0"/>
        <w:numPr>
          <w:ilvl w:val="0"/>
          <w:numId w:val="1"/>
        </w:numPr>
        <w:spacing w:before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2373314</wp:posOffset>
                </wp:positionH>
                <wp:positionV relativeFrom="paragraph">
                  <wp:posOffset>-14283</wp:posOffset>
                </wp:positionV>
                <wp:extent cx="1819275" cy="5143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64938" y="3551400"/>
                          <a:ext cx="176212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NOTA: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2373314</wp:posOffset>
                </wp:positionH>
                <wp:positionV relativeFrom="paragraph">
                  <wp:posOffset>-14283</wp:posOffset>
                </wp:positionV>
                <wp:extent cx="1819275" cy="5143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9275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5634355</wp:posOffset>
            </wp:positionH>
            <wp:positionV relativeFrom="paragraph">
              <wp:posOffset>-236844</wp:posOffset>
            </wp:positionV>
            <wp:extent cx="812800" cy="818515"/>
            <wp:effectExtent b="0" l="0" r="0" t="0"/>
            <wp:wrapSquare wrapText="bothSides" distB="0" distT="0" distL="114300" distR="114300"/>
            <wp:docPr descr="Resultado de imagem para logomarca sistemas de informaÃ§Ã£o png" id="5" name="image2.png"/>
            <a:graphic>
              <a:graphicData uri="http://schemas.openxmlformats.org/drawingml/2006/picture">
                <pic:pic>
                  <pic:nvPicPr>
                    <pic:cNvPr descr="Resultado de imagem para logomarca sistemas de informaÃ§Ã£o 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8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-88257</wp:posOffset>
            </wp:positionH>
            <wp:positionV relativeFrom="paragraph">
              <wp:posOffset>-363212</wp:posOffset>
            </wp:positionV>
            <wp:extent cx="1363345" cy="963930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334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1" w:sz="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Credenciada e Autorizada pelo MEC, Portaria n.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vertAlign w:val="super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. 644 de 28 de março de 2001 – Publicado no  D.O.U.  em  02/04/2001</w:t>
      </w:r>
    </w:p>
    <w:p w:rsidR="00000000" w:rsidDel="00000000" w:rsidP="00000000" w:rsidRDefault="00000000" w:rsidRPr="00000000" w14:paraId="00000007">
      <w:pPr>
        <w:pBdr>
          <w:top w:color="000000" w:space="1" w:sz="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Curso de Sistemas Informação – Reconhecido pela Portaria nº 220 de 01 de Novembro de 2012</w:t>
      </w:r>
    </w:p>
    <w:p w:rsidR="00000000" w:rsidDel="00000000" w:rsidP="00000000" w:rsidRDefault="00000000" w:rsidRPr="00000000" w14:paraId="00000008">
      <w:pPr>
        <w:tabs>
          <w:tab w:val="center" w:leader="none" w:pos="4252"/>
          <w:tab w:val="right" w:leader="none" w:pos="8504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center" w:leader="none" w:pos="4252"/>
          <w:tab w:val="right" w:leader="none" w:pos="8504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59129414"/>
        <w:tag w:val="goog_rdk_0"/>
      </w:sdtPr>
      <w:sdtContent>
        <w:tbl>
          <w:tblPr>
            <w:tblStyle w:val="Table1"/>
            <w:tblW w:w="10431.0" w:type="dxa"/>
            <w:jc w:val="left"/>
            <w:tbl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  <w:insideH w:color="000000" w:space="0" w:sz="18" w:val="single"/>
              <w:insideV w:color="000000" w:space="0" w:sz="18" w:val="single"/>
            </w:tblBorders>
            <w:tblLayout w:type="fixed"/>
            <w:tblLook w:val="0000"/>
          </w:tblPr>
          <w:tblGrid>
            <w:gridCol w:w="10431"/>
            <w:tblGridChange w:id="0">
              <w:tblGrid>
                <w:gridCol w:w="10431"/>
              </w:tblGrid>
            </w:tblGridChange>
          </w:tblGrid>
          <w:tr>
            <w:trPr>
              <w:cantSplit w:val="0"/>
              <w:trHeight w:val="37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A">
                <w:pPr>
                  <w:tabs>
                    <w:tab w:val="center" w:leader="none" w:pos="4419"/>
                    <w:tab w:val="right" w:leader="none" w:pos="8838"/>
                  </w:tabs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EXERCÍCIO DE APRENDIZAGEM E APROVEITAMENTO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B">
                <w:pPr>
                  <w:tabs>
                    <w:tab w:val="center" w:leader="none" w:pos="4419"/>
                    <w:tab w:val="right" w:leader="none" w:pos="8838"/>
                  </w:tabs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 I UNIDADE – 2026.2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C">
      <w:pPr>
        <w:spacing w:after="0" w:line="240" w:lineRule="auto"/>
        <w:ind w:right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right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Disciplina: TÓPICOS INTEGRADORES   Curso: Sistemas de Informação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Período: 5     Data: ___/___/ 2026</w:t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Prof(a).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CAYO OLIVEIRA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 Aluno(a):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            ___________ 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Instruções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76" w:lineRule="auto"/>
        <w:ind w:left="456" w:hanging="435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 aluno dispõe de duas horas para realizar este exercício de aprendizagem e aproveitament5o;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76" w:lineRule="auto"/>
        <w:ind w:left="456" w:hanging="435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 aluno deve indicar o nome na folha de respostas (se houver), bem como nesta folha de perguntas;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76" w:lineRule="auto"/>
        <w:ind w:left="456" w:hanging="435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 interpretação cabe, exclusivamente, ao aluno.  Dirija-se ao professor ou ao fiscal de sala apenas em caso de texto ilegível.  Durante a realização, favor,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manter desligado e guardado aparelho celular ou qualquer outro tipo de dispositivo eletrônico de transmissão de dados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.  Proibido solicitar material por empréstimo, tais como borracha ou corretivo.  Guardar todo material didático sob a cadeira.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76" w:lineRule="auto"/>
        <w:ind w:left="456" w:hanging="435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 ordem dos quesitos não altera a correção, desde que as respostas se reportem ao quesito de que tratam;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76" w:lineRule="auto"/>
        <w:ind w:left="456" w:hanging="435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As respostas devem ser fundamentas; serão verificadas a articulação de idéias e a clareza do raciocínio. A argumentação é indispensável;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76" w:lineRule="auto"/>
        <w:ind w:left="456" w:hanging="435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 valor de cada questão estará apresentado logo após o enunciado.  Serão consideradas apenas as respostas escritas com caneta preta ou azul;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76" w:lineRule="auto"/>
        <w:ind w:left="456" w:hanging="435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Outras situações não elencadas aqui serão julgadas pelo professor da disciplina, conforme Regimento da faculdade.</w:t>
      </w:r>
    </w:p>
    <w:p w:rsidR="00000000" w:rsidDel="00000000" w:rsidP="00000000" w:rsidRDefault="00000000" w:rsidRPr="00000000" w14:paraId="0000001A">
      <w:pPr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center" w:leader="none" w:pos="4252"/>
          <w:tab w:val="right" w:leader="none" w:pos="8504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94521095"/>
        <w:tag w:val="goog_rdk_1"/>
      </w:sdtPr>
      <w:sdtContent>
        <w:tbl>
          <w:tblPr>
            <w:tblStyle w:val="Table2"/>
            <w:tblW w:w="10431.0" w:type="dxa"/>
            <w:jc w:val="left"/>
            <w:tbl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  <w:insideH w:color="000000" w:space="0" w:sz="18" w:val="single"/>
              <w:insideV w:color="000000" w:space="0" w:sz="18" w:val="single"/>
            </w:tblBorders>
            <w:tblLayout w:type="fixed"/>
            <w:tblLook w:val="0000"/>
          </w:tblPr>
          <w:tblGrid>
            <w:gridCol w:w="10431"/>
            <w:tblGridChange w:id="0">
              <w:tblGrid>
                <w:gridCol w:w="10431"/>
              </w:tblGrid>
            </w:tblGridChange>
          </w:tblGrid>
          <w:tr>
            <w:trPr>
              <w:cantSplit w:val="0"/>
              <w:trHeight w:val="37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C">
                <w:pPr>
                  <w:spacing w:after="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Esta avaliação contém seis questões objetivas e duas discursivas. Respostas sem desenvolvimento suficiente poderão não receber pontuação integral. As questões que precisam de cálculos só serão aceitas com seus respectivos cálculos. </w:t>
                </w:r>
              </w:p>
              <w:p w:rsidR="00000000" w:rsidDel="00000000" w:rsidP="00000000" w:rsidRDefault="00000000" w:rsidRPr="00000000" w14:paraId="0000001D">
                <w:pPr>
                  <w:spacing w:after="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spacing w:after="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36"/>
                    <w:szCs w:val="36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O uso não autorizado de inteligência artificial durante a avaliação implicará a anulação da questão.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F">
      <w:pPr>
        <w:spacing w:after="0" w:line="240" w:lineRule="auto"/>
        <w:ind w:right="36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05.0" w:type="dxa"/>
        <w:jc w:val="center"/>
        <w:tblLayout w:type="fixed"/>
        <w:tblLook w:val="0400"/>
      </w:tblPr>
      <w:tblGrid>
        <w:gridCol w:w="8334"/>
        <w:gridCol w:w="1871"/>
        <w:tblGridChange w:id="0">
          <w:tblGrid>
            <w:gridCol w:w="8334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Uma nota executiva celebrou simultaneamente maior acerto e menor tempo. Antes da expansão, porém, a direção exige separar sinal promissor de conclusão causal.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60" w:before="4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8"/>
          <w:sz w:val="19"/>
          <w:szCs w:val="19"/>
          <w:rtl w:val="0"/>
        </w:rPr>
        <w:t xml:space="preserve">Quadro — Resultados observados por condição</w:t>
      </w:r>
      <w:r w:rsidDel="00000000" w:rsidR="00000000" w:rsidRPr="00000000">
        <w:rPr>
          <w:rtl w:val="0"/>
        </w:rPr>
      </w:r>
    </w:p>
    <w:tbl>
      <w:tblPr>
        <w:tblStyle w:val="Table4"/>
        <w:tblW w:w="10204.0" w:type="dxa"/>
        <w:jc w:val="center"/>
        <w:tblLayout w:type="fixed"/>
        <w:tblLook w:val="0400"/>
      </w:tblPr>
      <w:tblGrid>
        <w:gridCol w:w="3628"/>
        <w:gridCol w:w="1587"/>
        <w:gridCol w:w="2268"/>
        <w:gridCol w:w="2721"/>
        <w:tblGridChange w:id="0">
          <w:tblGrid>
            <w:gridCol w:w="3628"/>
            <w:gridCol w:w="1587"/>
            <w:gridCol w:w="2268"/>
            <w:gridCol w:w="27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Decisões corretas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Tempo mediano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Sem assistente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9,0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Assistente sem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5,5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Assistente com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6,2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Os grupos receberam casos distintos e não houve aleatorização. O caso conecta produto, software e dados; a resposta deve escolher uma ação e indicar evidência mínima antes de torná-la irreversível.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2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A conclusão mais defensável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 assistente com testes provou causalmente ser superior em qualquer turma. Sem aleatorização e com casos distintos, o piloto não sustenta generalização causal para qualquer turma.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há sinal conjunto de maior acerto e menor tempo na condição com testes, mas diferenças entre casos limitam causalidade e pedem experimento controlado. Os números sugerem benefício conjunto, mas um experimento controlado deve verificar se a condição causou o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 assistente sem testes é melhor porque possui o menor tempo, independentemente de erro. Menor tempo isolado não compensa a quantidade inferior de decisões corretas.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as três condições são equivalentes porque possuem o mesmo número de casos. O mesmo número de casos não torna iguais os resultados nem controla a dificuldade dos casos.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 grupo com testes piorou, pois 6,2 é maior que 5,5. Comparar 6,2 apenas com 5,5 ignora que a referência sem assistente levou 9 minutos e acertou menos.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05.0" w:type="dxa"/>
        <w:jc w:val="center"/>
        <w:tblLayout w:type="fixed"/>
        <w:tblLook w:val="0400"/>
      </w:tblPr>
      <w:tblGrid>
        <w:gridCol w:w="8334"/>
        <w:gridCol w:w="1871"/>
        <w:tblGridChange w:id="0">
          <w:tblGrid>
            <w:gridCol w:w="8334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relatório do teste atribuiu toda a redução do tempo de um </w:t>
      </w:r>
      <w:r w:rsidDel="00000000" w:rsidR="00000000" w:rsidRPr="00000000">
        <w:rPr>
          <w:sz w:val="20"/>
          <w:szCs w:val="20"/>
          <w:rtl w:val="0"/>
        </w:rPr>
        <w:t xml:space="preserve">dashboard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a uma única alteração de rótulo. Entretanto, a versão avaliada modificou simultaneamente conteúdo, ordem, cor e latência percebida.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A versão B d</w:t>
      </w:r>
      <w:r w:rsidDel="00000000" w:rsidR="00000000" w:rsidRPr="00000000">
        <w:rPr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dash muda rótulo, ordem dos painéis, cor, conteúdo da evidência e tempo simulado de resposta. Ela obteve menor tempo de tarefa que o dash A. A equipe </w:t>
      </w:r>
      <w:r w:rsidDel="00000000" w:rsidR="00000000" w:rsidRPr="00000000">
        <w:rPr>
          <w:sz w:val="20"/>
          <w:szCs w:val="20"/>
          <w:rtl w:val="0"/>
        </w:rPr>
        <w:t xml:space="preserve">atribui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essa redu</w:t>
      </w:r>
      <w:r w:rsidDel="00000000" w:rsidR="00000000" w:rsidRPr="00000000">
        <w:rPr>
          <w:sz w:val="20"/>
          <w:szCs w:val="20"/>
          <w:rtl w:val="0"/>
        </w:rPr>
        <w:t xml:space="preserve">ção do tempo apenas a alteração de rótulo.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A amostra e a forma de recrutamento podem explicar a diferença; antes de generalizar, a equipe precisa decidir novo recorte e medida de confirmação.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2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Essa conclusão é frágil porque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protótipos não permitem comparar tempo de tarefa. Essa conclusão descarta indevidamente uma medida válida de usabilidade.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várias mudanças ocorreram juntas, impedindo atribuir o efeito observado exclusivamente ao rótulo. Como conteúdo, ordem, cor e latência também mudaram, o efeito isolado do rótulo não pode ser identificado.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a versão B deveria sempre ser testada primeiro para evitar aprendizagem. Fixar sempre a ordem introduziria outro viés e não separaria as alterações realizadas.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cor e tempo não influenciam comportamento e podem ser ignorados. Esses elementos podem afetar percepção e desempenho e, portanto, não podem ser tratados como neutros.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toda comparação exige pelo menos cem participantes, independentemente da decisão. O tamanho necessário depende da decisão, do desenho e da incerteza, não de um corte universal de cem pessoas.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205.0" w:type="dxa"/>
        <w:jc w:val="center"/>
        <w:tblLayout w:type="fixed"/>
        <w:tblLook w:val="0400"/>
      </w:tblPr>
      <w:tblGrid>
        <w:gridCol w:w="8334"/>
        <w:gridCol w:w="1871"/>
        <w:tblGridChange w:id="0">
          <w:tblGrid>
            <w:gridCol w:w="8334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0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before="0" w:line="259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Uma plataforma envia trechos de código a um serviço de análise. </w:t>
      </w:r>
    </w:p>
    <w:p w:rsidR="00000000" w:rsidDel="00000000" w:rsidP="00000000" w:rsidRDefault="00000000" w:rsidRPr="00000000" w14:paraId="00000062">
      <w:pPr>
        <w:spacing w:after="100" w:before="0" w:line="25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before="0" w:line="259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contrato promete: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receber linguagem, conteúdo e identificador da solicitação; 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devolver estado, achados e versão do analisador; 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100" w:before="0" w:line="259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jamais expor tipos do SDK do fornecedor. </w:t>
      </w:r>
    </w:p>
    <w:p w:rsidR="00000000" w:rsidDel="00000000" w:rsidP="00000000" w:rsidRDefault="00000000" w:rsidRPr="00000000" w14:paraId="00000067">
      <w:pPr>
        <w:spacing w:after="100" w:before="0" w:line="259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0" w:line="259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Em uma atualização, a equipe trocou o provedor e manteve os mesmos campos e significados.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A equipe precisa decidir simultaneamente como evoluir o contrato e como impedir que consumidores antigos quebrem durante a transição.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2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A situação evidencia 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a interface coincide com o código interno, pois ambos mudam sempre juntos. A troca bem-sucedida demonstra justamente que contrato público e código interno podem evoluir separadamente.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 contrato protege consumidores da implementação, desde que comportamento e semântica prometidos sejam preservados. Preservar campos, significados e comportamento permite substituir a implementação sem quebrar consumidores.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uma API só possui contrato quando emprega HTTP e JSON. Contratos também existem em outras formas de integração e não dependem exclusivamente de HTTP ou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esconder o nome do fornecedor elimina a necessidade de versionamento. Ocultar o fornecedor reduz vazamento tecnológico, mas não elimina evolução de semântica e versionamento.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toda mudança interna deve ser comunicada como quebra pública. Mudanças internas compatíveis não precisam ser anunciadas como quebra do contrato público.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05.0" w:type="dxa"/>
        <w:jc w:val="center"/>
        <w:tblLayout w:type="fixed"/>
        <w:tblLook w:val="0400"/>
      </w:tblPr>
      <w:tblGrid>
        <w:gridCol w:w="8334"/>
        <w:gridCol w:w="1871"/>
        <w:tblGridChange w:id="0">
          <w:tblGrid>
            <w:gridCol w:w="8334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chamado de manutenção parecia simples: substituir o SDK usado pelo assistente. O impacto espalhado pela interface, pelos jobs e pelos relatórios revelou uma decisão arquitetural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Ao trocar o SDK do LLM, a equipe alterou 27 arquivos: botões, controladores, testes, relatórios e jobs. O tipo retornado pelo SDK aparece em toda a aplicação. A regra de negócio não mudou.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incidente exige localizar acoplamento e escolher uma intervenção, além de preservar entrega enquanto a dependência é isolada e testada.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2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O diagnóstico e a intervenção mais coerentes 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baixa coesão visual; padronizar nomes e cores dos arquivos. Padronização visual não reduz a dependência estrutural dos módulos em relação ao SDK externo.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acoplamento à tecnologia externa; criar contrato interno e adaptador que traduza tipos na fronteira. A fronteira interna contém a mudança tecnológica e permite testar a tradução sem espalhar tipos do fornecedor.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dívida de banco; normalizar as tabelas usadas pelo relatório. O incidente ocorre em dependências de software, e não na forma das tabelas do relatório.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excesso de testes; remover mocks que evidenciam a dependência. Os testes tornam o acoplamento observável; removê-los esconderia o risco sem corrigi-lo.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falta de microserviços; transformar imediatamente cada arquivo em serviço de rede. Distribuir a mesma dependência por serviços de rede ampliaria custo e falhas sem resolver a fronteira.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0205.0" w:type="dxa"/>
        <w:jc w:val="center"/>
        <w:tblLayout w:type="fixed"/>
        <w:tblLook w:val="0400"/>
      </w:tblPr>
      <w:tblGrid>
        <w:gridCol w:w="8334"/>
        <w:gridCol w:w="1871"/>
        <w:tblGridChange w:id="0">
          <w:tblGrid>
            <w:gridCol w:w="8334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A organização aprovou uma regra corporativa para cliente ativo e distribuiu responsabilidades. A análise deve distinguir o direito de decidir da execução diária das políticas e controles.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comitê define que ``cliente ativo'' deve ter regra corporativa, owner, qualidade mínima e uso permitido. A equipe de dados implementa validações, catálogo, monitoramento e correção operacional segundo essas decisões. O monitoramento deve combinar indicador agregado e auditoria de casos, evitando que boa média esconda exposição grave em um único grupo.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2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Nesse cenário,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governança executa pipelines e gestão escolhe direitos decisórios. A alternativa inverte os papéis: execução de pipeline é atividade operacional de gestão.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governança estabelece decisão, responsabilidade e política; gestão operacionaliza e mede sua execução. A governança define direitos, responsabilidades e políticas; a gestão implementa controles e mede sua execução.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ambas são sinônimos e a distinção não produz responsabilidade. Tratá-las como sinônimos apaga quem decide, quem executa e quem responde pelo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somente tecnologia governa, porque o conceito está no banco. A definição corporativa envolve negócio, risco e responsabilidade, não somente a tecnologia que a armazena.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 comitê elimina a necessidade de owner e steward. O comitê depende de owner e steward para transformar a decisão em responsabilidade contínua.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0" w:line="245" w:lineRule="auto"/>
        <w:ind w:left="283" w:hanging="283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05.0" w:type="dxa"/>
        <w:jc w:val="center"/>
        <w:tblLayout w:type="fixed"/>
        <w:tblLook w:val="0400"/>
      </w:tblPr>
      <w:tblGrid>
        <w:gridCol w:w="8334"/>
        <w:gridCol w:w="1871"/>
        <w:tblGridChange w:id="0">
          <w:tblGrid>
            <w:gridCol w:w="8334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DISCURSIVA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Uma revisão interna constatou que a entrega tecnicamente concluída falhou em requisitos elementares de segurança e privacidade. A chefia solicita um contrato verificável antes de autorizar nova implementação.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Um agente recebeu adicione recuperação de senha'' e criou um endpoint que envia link permanente, registra o token completo e revela se o e-mail existe. O código passou em testes de caminho feliz.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contrato será usado para implementar e aceitar a entrega; por isso deve ligar comportamento esperado, exceções observáveis e evidência de teste.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2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Produza um contrato SDD conciso com: contexto, três requisitos, duas exceções, componentes afetados, três critérios de aceitação e evidências de validação. Explique por que os testes de caminho feliz não bastam para aceitar a implementação.</w:t>
      </w:r>
      <w:r w:rsidDel="00000000" w:rsidR="00000000" w:rsidRPr="00000000">
        <w:rPr>
          <w:rtl w:val="0"/>
        </w:rPr>
      </w:r>
    </w:p>
    <w:tbl>
      <w:tblPr>
        <w:tblStyle w:val="Table10"/>
        <w:tblW w:w="10206.0" w:type="dxa"/>
        <w:jc w:val="center"/>
        <w:tblLayout w:type="fixed"/>
        <w:tblLook w:val="04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e7e6e6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80.596618652345" w:hRule="atLeast"/>
          <w:tblHeader w:val="0"/>
        </w:trPr>
        <w:tc>
          <w:tcPr>
            <w:tcBorders>
              <w:left w:color="7f7f7f" w:space="0" w:sz="6" w:val="single"/>
              <w:bottom w:color="bfbfbf" w:space="0" w:sz="4" w:val="single"/>
              <w:right w:color="7f7f7f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205.0" w:type="dxa"/>
        <w:jc w:val="center"/>
        <w:tblLayout w:type="fixed"/>
        <w:tblLook w:val="0400"/>
      </w:tblPr>
      <w:tblGrid>
        <w:gridCol w:w="8334"/>
        <w:gridCol w:w="1871"/>
        <w:tblGridChange w:id="0">
          <w:tblGrid>
            <w:gridCol w:w="8334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DISCURSIVA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Em uma reunião de planejamento, a equipe tratou Lean Startup, Scrum e Kanban como produtos concorrentes. A direção quer saber como combiná-los sem transformar cerimônias e quadros em finalidade.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Uma equipe acredita que precisa escolher um único ``método ágil'': Lean Startup, Scrum ou Kanban. Ela possui incerteza de valor, precisa coordenar um incremento quinzenal e sofre com uma fila crescente de revisão.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A composição será julgada pela coerência entre aprendizagem, coordenação e fluxo, bem como pela capacidade de adaptar o sistema com evidência.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2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Explique como os três podem atuar em níveis diferentes sem serem tratados como sinônimos. Proponha uma composição para o caso, indicando hipótese/experimento, responsabilidades/eventos e política de fluxo. Inclua um risco de aplicar cada abordagem de forma mecânica.</w:t>
      </w:r>
      <w:r w:rsidDel="00000000" w:rsidR="00000000" w:rsidRPr="00000000">
        <w:rPr>
          <w:rtl w:val="0"/>
        </w:rPr>
      </w:r>
    </w:p>
    <w:tbl>
      <w:tblPr>
        <w:tblStyle w:val="Table12"/>
        <w:tblW w:w="10206.0" w:type="dxa"/>
        <w:jc w:val="center"/>
        <w:tblLayout w:type="fixed"/>
        <w:tblLook w:val="04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e7e6e6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RESPOSTA (ATÉ 15 LINHAS)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85" w:hRule="atLeast"/>
          <w:tblHeader w:val="0"/>
        </w:trPr>
        <w:tc>
          <w:tcPr>
            <w:tcBorders>
              <w:left w:color="7f7f7f" w:space="0" w:sz="6" w:val="single"/>
              <w:bottom w:color="bfbfbf" w:space="0" w:sz="4" w:val="single"/>
              <w:right w:color="7f7f7f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10205.0" w:type="dxa"/>
        <w:jc w:val="center"/>
        <w:tblLayout w:type="fixed"/>
        <w:tblLook w:val="0400"/>
      </w:tblPr>
      <w:tblGrid>
        <w:gridCol w:w="8334"/>
        <w:gridCol w:w="1871"/>
        <w:tblGridChange w:id="0">
          <w:tblGrid>
            <w:gridCol w:w="8334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Depois de uma correção retroativa, a equipe não conseguiu localizar os eventos atingidos. O dado havia chegado ao painel, mas os metadados que sustentariam auditoria e reprocessamento foram descartados.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pipeline recebe AnaliseConcluida, mas guarda somente projeto e quantidade de achados. Descarta identificador do evento, versão do esquema, horário de ocorrência, horário de ingestão e origem. Após uma correção, ninguém sabe quais registros reprocessar. O incidente exige decidir onde corrigir a regra e quais partições republicar, mantendo linhagem entre fonte, transformação e indicador afetado.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2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A lacuna principal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excesso de metadados, que deveria ser reduzido ainda mais. O problema foi a ausência, e não o excesso, dos metadados necessários à investigação.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perda de proveniência e reprocessabilidade; metadados técnicos mínimos deveriam acompanhar o dado. Identificador, versão, origem e tempos permitem localizar, reproduzir e republicar somente o conjunto afetado.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falta de um gráfico de pizza na camada de ingestão. Uma visualização não recupera a linhagem que foi descartada durante a ingestão.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ausência de modelo generativo para reconstruir valores. Um modelo poderia inventar uma reconstrução, mas não restabeleceria evidência auditável do evento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uso de identificador de projeto em vez do nome do projeto. Trocar nome por identificador de projeto não recompõe os metadados técnicos ausentes.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709" w:top="709" w:left="850" w:right="850" w:header="283" w:footer="31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59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I Unidade • 2026.2     |   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L6wjIHKr+fxrT/1DQrRUh0ckIQ==">CgMxLjAaHwoBMBIaChgICVIUChJ0YWJsZS5qa3lxaGxua285czEaHwoBMRIaChgICVIUChJ0YWJsZS5xeTlucWw2YWVlMGY4AHIhMVZ4bjRaX1ZuZzV6aHJlNFktYVphUjQ4bC1oWTU4X2NV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Cayo Oliveira</dc:creator>
</cp:coreProperties>
</file>