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Default="00470AC5">
      <w:pPr>
        <w:rPr>
          <w:lang w:val="tr-TR"/>
        </w:rPr>
      </w:pPr>
      <w:r>
        <w:rPr>
          <w:lang w:val="tr-TR"/>
        </w:rPr>
        <w:t>Q2-</w:t>
      </w:r>
    </w:p>
    <w:p w:rsidR="00470AC5" w:rsidRDefault="00470AC5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hydro-generator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iniated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magnetic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armatüre </w:t>
      </w:r>
      <w:proofErr w:type="spellStart"/>
      <w:r>
        <w:rPr>
          <w:lang w:val="tr-TR"/>
        </w:rPr>
        <w:t>windings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sizes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bore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diameter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diamater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stator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former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dimensions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 w:rsidR="001147F8">
        <w:rPr>
          <w:lang w:val="tr-TR"/>
        </w:rPr>
        <w:t xml:space="preserve"> </w:t>
      </w:r>
      <w:proofErr w:type="spellStart"/>
      <w:r w:rsidR="001147F8">
        <w:rPr>
          <w:lang w:val="tr-TR"/>
        </w:rPr>
        <w:t>power</w:t>
      </w:r>
      <w:proofErr w:type="spellEnd"/>
      <w:r w:rsidR="001147F8">
        <w:rPr>
          <w:lang w:val="tr-TR"/>
        </w:rPr>
        <w:t xml:space="preserve"> </w:t>
      </w:r>
      <w:proofErr w:type="spellStart"/>
      <w:r w:rsidR="001147F8">
        <w:rPr>
          <w:lang w:val="tr-TR"/>
        </w:rPr>
        <w:t>rating</w:t>
      </w:r>
      <w:proofErr w:type="spellEnd"/>
      <w:r w:rsidR="001147F8">
        <w:rPr>
          <w:lang w:val="tr-TR"/>
        </w:rPr>
        <w:t xml:space="preserve"> </w:t>
      </w:r>
      <w:proofErr w:type="spellStart"/>
      <w:r w:rsidR="001147F8">
        <w:rPr>
          <w:lang w:val="tr-TR"/>
        </w:rPr>
        <w:t>are</w:t>
      </w:r>
      <w:proofErr w:type="spellEnd"/>
      <w:r w:rsidR="001147F8">
        <w:rPr>
          <w:lang w:val="tr-TR"/>
        </w:rPr>
        <w:t xml:space="preserve"> </w:t>
      </w:r>
      <w:proofErr w:type="spellStart"/>
      <w:r w:rsidR="001147F8">
        <w:rPr>
          <w:lang w:val="tr-TR"/>
        </w:rPr>
        <w:t>seen</w:t>
      </w:r>
      <w:proofErr w:type="spellEnd"/>
      <w:r w:rsidR="001147F8">
        <w:rPr>
          <w:lang w:val="tr-TR"/>
        </w:rPr>
        <w:t xml:space="preserve"> in </w:t>
      </w:r>
      <w:proofErr w:type="spellStart"/>
      <w:r w:rsidR="001147F8">
        <w:rPr>
          <w:lang w:val="tr-TR"/>
        </w:rPr>
        <w:t>table</w:t>
      </w:r>
      <w:proofErr w:type="spellEnd"/>
      <w:r w:rsidR="001147F8">
        <w:rPr>
          <w:lang w:val="tr-TR"/>
        </w:rPr>
        <w:t xml:space="preserve"> xx.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1147F8" w:rsidTr="001147F8">
        <w:tc>
          <w:tcPr>
            <w:tcW w:w="3132" w:type="dxa"/>
          </w:tcPr>
          <w:p w:rsidR="001147F8" w:rsidRDefault="001147F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Parameter</w:t>
            </w:r>
            <w:proofErr w:type="spellEnd"/>
          </w:p>
        </w:tc>
        <w:tc>
          <w:tcPr>
            <w:tcW w:w="3132" w:type="dxa"/>
          </w:tcPr>
          <w:p w:rsidR="001147F8" w:rsidRDefault="00B13C4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Range</w:t>
            </w:r>
            <w:proofErr w:type="spellEnd"/>
          </w:p>
        </w:tc>
        <w:tc>
          <w:tcPr>
            <w:tcW w:w="3132" w:type="dxa"/>
          </w:tcPr>
          <w:p w:rsidR="001147F8" w:rsidRDefault="006E21B7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Selection</w:t>
            </w:r>
            <w:proofErr w:type="spellEnd"/>
          </w:p>
        </w:tc>
      </w:tr>
      <w:tr w:rsidR="001147F8" w:rsidTr="001147F8">
        <w:tc>
          <w:tcPr>
            <w:tcW w:w="3132" w:type="dxa"/>
          </w:tcPr>
          <w:p w:rsidR="001147F8" w:rsidRDefault="006E21B7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Electrical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loading</w:t>
            </w:r>
            <w:proofErr w:type="spellEnd"/>
            <w:r>
              <w:rPr>
                <w:lang w:val="tr-TR"/>
              </w:rPr>
              <w:t xml:space="preserve"> – A (</w:t>
            </w:r>
            <w:proofErr w:type="spellStart"/>
            <w:r w:rsidR="00F235F4">
              <w:rPr>
                <w:lang w:val="tr-TR"/>
              </w:rPr>
              <w:t>k</w:t>
            </w:r>
            <w:r>
              <w:rPr>
                <w:lang w:val="tr-TR"/>
              </w:rPr>
              <w:t>A</w:t>
            </w:r>
            <w:proofErr w:type="spellEnd"/>
            <w:r>
              <w:rPr>
                <w:lang w:val="tr-TR"/>
              </w:rPr>
              <w:t>/m)</w:t>
            </w:r>
          </w:p>
        </w:tc>
        <w:tc>
          <w:tcPr>
            <w:tcW w:w="3132" w:type="dxa"/>
          </w:tcPr>
          <w:p w:rsidR="001147F8" w:rsidRDefault="00374B94">
            <w:pPr>
              <w:rPr>
                <w:lang w:val="tr-TR"/>
              </w:rPr>
            </w:pPr>
            <w:r>
              <w:rPr>
                <w:lang w:val="tr-TR"/>
              </w:rPr>
              <w:t xml:space="preserve">35 – 65 </w:t>
            </w:r>
            <w:proofErr w:type="spellStart"/>
            <w:r>
              <w:rPr>
                <w:lang w:val="tr-TR"/>
              </w:rPr>
              <w:t>kA</w:t>
            </w:r>
            <w:proofErr w:type="spellEnd"/>
            <w:r>
              <w:rPr>
                <w:lang w:val="tr-TR"/>
              </w:rPr>
              <w:t>/m</w:t>
            </w:r>
          </w:p>
        </w:tc>
        <w:tc>
          <w:tcPr>
            <w:tcW w:w="3132" w:type="dxa"/>
          </w:tcPr>
          <w:p w:rsidR="001147F8" w:rsidRDefault="00374B94">
            <w:pPr>
              <w:rPr>
                <w:lang w:val="tr-TR"/>
              </w:rPr>
            </w:pPr>
            <w:r>
              <w:rPr>
                <w:lang w:val="tr-TR"/>
              </w:rPr>
              <w:t>65</w:t>
            </w:r>
            <w:r w:rsidR="00F235F4">
              <w:rPr>
                <w:lang w:val="tr-TR"/>
              </w:rPr>
              <w:t xml:space="preserve"> </w:t>
            </w:r>
            <w:proofErr w:type="spellStart"/>
            <w:r w:rsidR="00F235F4">
              <w:rPr>
                <w:lang w:val="tr-TR"/>
              </w:rPr>
              <w:t>kA</w:t>
            </w:r>
            <w:proofErr w:type="spellEnd"/>
            <w:r w:rsidR="00F235F4">
              <w:rPr>
                <w:lang w:val="tr-TR"/>
              </w:rPr>
              <w:t>/m</w:t>
            </w:r>
          </w:p>
        </w:tc>
      </w:tr>
      <w:tr w:rsidR="001147F8" w:rsidTr="001147F8">
        <w:tc>
          <w:tcPr>
            <w:tcW w:w="3132" w:type="dxa"/>
          </w:tcPr>
          <w:p w:rsidR="001147F8" w:rsidRDefault="00374B9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Air-gap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flux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density</w:t>
            </w:r>
            <w:proofErr w:type="spellEnd"/>
            <w:r w:rsidR="006E21B7">
              <w:rPr>
                <w:lang w:val="tr-TR"/>
              </w:rPr>
              <w:t xml:space="preserve"> – B (T)</w:t>
            </w:r>
          </w:p>
        </w:tc>
        <w:tc>
          <w:tcPr>
            <w:tcW w:w="3132" w:type="dxa"/>
          </w:tcPr>
          <w:p w:rsidR="001147F8" w:rsidRDefault="00374B94">
            <w:pPr>
              <w:rPr>
                <w:lang w:val="tr-TR"/>
              </w:rPr>
            </w:pPr>
            <w:r>
              <w:rPr>
                <w:lang w:val="tr-TR"/>
              </w:rPr>
              <w:t>0.85 – 1.05 T</w:t>
            </w:r>
          </w:p>
        </w:tc>
        <w:tc>
          <w:tcPr>
            <w:tcW w:w="3132" w:type="dxa"/>
          </w:tcPr>
          <w:p w:rsidR="001147F8" w:rsidRDefault="00F235F4">
            <w:pPr>
              <w:rPr>
                <w:lang w:val="tr-TR"/>
              </w:rPr>
            </w:pPr>
            <w:r>
              <w:rPr>
                <w:lang w:val="tr-TR"/>
              </w:rPr>
              <w:t>1 T</w:t>
            </w:r>
          </w:p>
        </w:tc>
      </w:tr>
      <w:tr w:rsidR="006E21B7" w:rsidTr="001147F8">
        <w:tc>
          <w:tcPr>
            <w:tcW w:w="3132" w:type="dxa"/>
          </w:tcPr>
          <w:p w:rsidR="006E21B7" w:rsidRDefault="006E21B7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Current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density</w:t>
            </w:r>
            <w:proofErr w:type="spellEnd"/>
            <w:r>
              <w:rPr>
                <w:lang w:val="tr-TR"/>
              </w:rPr>
              <w:t xml:space="preserve"> – J (A/mm2)</w:t>
            </w:r>
          </w:p>
        </w:tc>
        <w:tc>
          <w:tcPr>
            <w:tcW w:w="3132" w:type="dxa"/>
          </w:tcPr>
          <w:p w:rsidR="006E21B7" w:rsidRDefault="00374B94">
            <w:pPr>
              <w:rPr>
                <w:lang w:val="tr-TR"/>
              </w:rPr>
            </w:pPr>
            <w:r>
              <w:rPr>
                <w:lang w:val="tr-TR"/>
              </w:rPr>
              <w:t>2.5 – 4 A/mm2</w:t>
            </w:r>
          </w:p>
        </w:tc>
        <w:tc>
          <w:tcPr>
            <w:tcW w:w="3132" w:type="dxa"/>
          </w:tcPr>
          <w:p w:rsidR="006E21B7" w:rsidRDefault="00F235F4">
            <w:pPr>
              <w:rPr>
                <w:lang w:val="tr-TR"/>
              </w:rPr>
            </w:pPr>
            <w:r>
              <w:rPr>
                <w:lang w:val="tr-TR"/>
              </w:rPr>
              <w:t>3 A/mm2</w:t>
            </w:r>
          </w:p>
        </w:tc>
      </w:tr>
    </w:tbl>
    <w:p w:rsidR="001147F8" w:rsidRDefault="001147F8">
      <w:pPr>
        <w:rPr>
          <w:lang w:val="tr-TR"/>
        </w:rPr>
      </w:pPr>
    </w:p>
    <w:p w:rsidR="003A4AC2" w:rsidRDefault="003A4AC2">
      <w:pPr>
        <w:rPr>
          <w:lang w:val="tr-TR"/>
        </w:rPr>
      </w:pP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rating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constant</w:t>
      </w:r>
      <w:proofErr w:type="spellEnd"/>
      <w:r>
        <w:rPr>
          <w:lang w:val="tr-TR"/>
        </w:rPr>
        <w:t xml:space="preserve">, rotor </w:t>
      </w:r>
      <w:proofErr w:type="spellStart"/>
      <w:r>
        <w:rPr>
          <w:lang w:val="tr-TR"/>
        </w:rPr>
        <w:t>volume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synchronous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frequency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Besides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constant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magnetic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 </w:t>
      </w:r>
      <w:proofErr w:type="spellStart"/>
      <w:r>
        <w:rPr>
          <w:lang w:val="tr-TR"/>
        </w:rPr>
        <w:t>shows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rotor </w:t>
      </w:r>
      <w:proofErr w:type="spellStart"/>
      <w:r>
        <w:rPr>
          <w:lang w:val="tr-TR"/>
        </w:rPr>
        <w:t>volume</w:t>
      </w:r>
      <w:proofErr w:type="spellEnd"/>
      <w:r>
        <w:rPr>
          <w:lang w:val="tr-TR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0"/>
        <w:gridCol w:w="7213"/>
        <w:gridCol w:w="1533"/>
      </w:tblGrid>
      <w:tr w:rsidR="00760828" w:rsidRPr="00F11342" w:rsidTr="00613C97">
        <w:trPr>
          <w:trHeight w:val="441"/>
        </w:trPr>
        <w:tc>
          <w:tcPr>
            <w:tcW w:w="704" w:type="dxa"/>
            <w:vAlign w:val="center"/>
          </w:tcPr>
          <w:p w:rsidR="003A4AC2" w:rsidRPr="00F11342" w:rsidRDefault="003A4AC2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3A4AC2" w:rsidRPr="0078718A" w:rsidRDefault="0078718A" w:rsidP="0078718A">
            <w:pPr>
              <w:jc w:val="center"/>
              <w:rPr>
                <w:rFonts w:eastAsiaTheme="minorEastAsia"/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lang w:val="tr-TR"/>
                  </w:rPr>
                  <m:t>S=C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tr-TR"/>
                  </w:rPr>
                  <m:t>=44MVA</m:t>
                </m:r>
              </m:oMath>
            </m:oMathPara>
          </w:p>
          <w:p w:rsidR="0078718A" w:rsidRDefault="0078718A" w:rsidP="0078718A">
            <w:pPr>
              <w:jc w:val="center"/>
              <w:rPr>
                <w:rFonts w:eastAsiaTheme="minorEastAsia"/>
                <w:lang w:val="tr-TR"/>
              </w:rPr>
            </w:pPr>
          </w:p>
          <w:p w:rsidR="0078718A" w:rsidRPr="00F11342" w:rsidRDefault="00760828" w:rsidP="00A519E2">
            <w:pPr>
              <w:jc w:val="center"/>
              <w:rPr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lang w:val="tr-TR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w1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δ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=405kW-s/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54" w:type="dxa"/>
            <w:vAlign w:val="center"/>
          </w:tcPr>
          <w:p w:rsidR="003A4AC2" w:rsidRPr="00F11342" w:rsidRDefault="003A4AC2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1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3A4AC2" w:rsidRDefault="003A4AC2">
      <w:pPr>
        <w:rPr>
          <w:lang w:val="tr-TR"/>
        </w:rPr>
      </w:pPr>
    </w:p>
    <w:p w:rsidR="00E92D0E" w:rsidRDefault="00E92D0E">
      <w:pPr>
        <w:rPr>
          <w:lang w:val="tr-TR"/>
        </w:rPr>
      </w:pPr>
      <w:r>
        <w:rPr>
          <w:lang w:val="tr-TR"/>
        </w:rPr>
        <w:t xml:space="preserve">Machine </w:t>
      </w:r>
      <w:proofErr w:type="spellStart"/>
      <w:r>
        <w:rPr>
          <w:lang w:val="tr-TR"/>
        </w:rPr>
        <w:t>constant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provides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total rotor </w:t>
      </w:r>
      <w:proofErr w:type="spellStart"/>
      <w:r>
        <w:rPr>
          <w:lang w:val="tr-TR"/>
        </w:rPr>
        <w:t>volume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rotor </w:t>
      </w:r>
      <w:proofErr w:type="spellStart"/>
      <w:r>
        <w:rPr>
          <w:lang w:val="tr-TR"/>
        </w:rPr>
        <w:t>diamater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however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aspect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ratio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aspect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ratio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1"/>
        <w:gridCol w:w="7212"/>
        <w:gridCol w:w="1533"/>
      </w:tblGrid>
      <w:tr w:rsidR="002D4E97" w:rsidRPr="00F11342" w:rsidTr="00613C97">
        <w:trPr>
          <w:trHeight w:val="441"/>
        </w:trPr>
        <w:tc>
          <w:tcPr>
            <w:tcW w:w="704" w:type="dxa"/>
            <w:vAlign w:val="center"/>
          </w:tcPr>
          <w:p w:rsidR="00E92D0E" w:rsidRPr="00F11342" w:rsidRDefault="00E92D0E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E92D0E" w:rsidRPr="00F11342" w:rsidRDefault="001C4978" w:rsidP="002D4E97">
            <w:pPr>
              <w:jc w:val="center"/>
              <w:rPr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lang w:val="tr-TR"/>
                  </w:rPr>
                  <m:t>X</m:t>
                </m:r>
                <m:r>
                  <w:rPr>
                    <w:rFonts w:ascii="Cambria Math" w:hAnsi="Cambria Math"/>
                    <w:lang w:val="tr-T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 xml:space="preserve">4×P 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tr-TR"/>
                      </w:rPr>
                      <m:t>P</m:t>
                    </m:r>
                  </m:e>
                </m:rad>
                <m:r>
                  <w:rPr>
                    <w:rFonts w:ascii="Cambria Math" w:hAnsi="Cambria Math"/>
                    <w:lang w:val="tr-TR"/>
                  </w:rPr>
                  <m:t>≅0.2</m:t>
                </m:r>
              </m:oMath>
            </m:oMathPara>
          </w:p>
        </w:tc>
        <w:tc>
          <w:tcPr>
            <w:tcW w:w="754" w:type="dxa"/>
            <w:vAlign w:val="center"/>
          </w:tcPr>
          <w:p w:rsidR="00E92D0E" w:rsidRPr="00F11342" w:rsidRDefault="00E92D0E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2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E92D0E" w:rsidRDefault="00E92D0E">
      <w:pPr>
        <w:rPr>
          <w:lang w:val="tr-TR"/>
        </w:rPr>
      </w:pPr>
    </w:p>
    <w:p w:rsidR="00E92D0E" w:rsidRDefault="002D4E97">
      <w:pPr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finding</w:t>
      </w:r>
      <w:proofErr w:type="spellEnd"/>
      <w:r>
        <w:rPr>
          <w:lang w:val="tr-TR"/>
        </w:rPr>
        <w:t xml:space="preserve"> rotor </w:t>
      </w:r>
      <w:proofErr w:type="spellStart"/>
      <w:r>
        <w:rPr>
          <w:lang w:val="tr-TR"/>
        </w:rPr>
        <w:t>diameter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diameter</w:t>
      </w:r>
      <w:proofErr w:type="spellEnd"/>
      <w:r>
        <w:rPr>
          <w:lang w:val="tr-TR"/>
        </w:rPr>
        <w:t xml:space="preserve"> can be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poles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xx.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rotor </w:t>
      </w:r>
      <w:proofErr w:type="spellStart"/>
      <w:r>
        <w:rPr>
          <w:lang w:val="tr-TR"/>
        </w:rPr>
        <w:t>diamater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diameter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seen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xx.</w:t>
      </w:r>
    </w:p>
    <w:p w:rsidR="00EE1DD4" w:rsidRDefault="00EE1DD4" w:rsidP="00EE1DD4">
      <w:pPr>
        <w:jc w:val="center"/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39D02D2C" wp14:editId="7F67AB52">
            <wp:extent cx="3600000" cy="808718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E1DD4" w:rsidTr="00EE1DD4">
        <w:tc>
          <w:tcPr>
            <w:tcW w:w="4698" w:type="dxa"/>
          </w:tcPr>
          <w:p w:rsidR="00EE1DD4" w:rsidRDefault="00EE1DD4" w:rsidP="00EE1DD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Parameter</w:t>
            </w:r>
            <w:proofErr w:type="spellEnd"/>
          </w:p>
        </w:tc>
        <w:tc>
          <w:tcPr>
            <w:tcW w:w="4698" w:type="dxa"/>
          </w:tcPr>
          <w:p w:rsidR="00EE1DD4" w:rsidRDefault="00EE1DD4" w:rsidP="00EE1DD4">
            <w:pPr>
              <w:rPr>
                <w:lang w:val="tr-TR"/>
              </w:rPr>
            </w:pPr>
            <w:r>
              <w:rPr>
                <w:lang w:val="tr-TR"/>
              </w:rPr>
              <w:t>Value</w:t>
            </w:r>
          </w:p>
        </w:tc>
      </w:tr>
      <w:tr w:rsidR="00EE1DD4" w:rsidTr="00EE1DD4">
        <w:tc>
          <w:tcPr>
            <w:tcW w:w="4698" w:type="dxa"/>
          </w:tcPr>
          <w:p w:rsidR="00EE1DD4" w:rsidRDefault="00EE1DD4" w:rsidP="00EE1DD4">
            <w:pPr>
              <w:rPr>
                <w:lang w:val="tr-TR"/>
              </w:rPr>
            </w:pPr>
            <w:r>
              <w:rPr>
                <w:lang w:val="tr-TR"/>
              </w:rPr>
              <w:t xml:space="preserve">Rotor </w:t>
            </w:r>
            <w:proofErr w:type="spellStart"/>
            <w:r>
              <w:rPr>
                <w:lang w:val="tr-TR"/>
              </w:rPr>
              <w:t>diameter</w:t>
            </w:r>
            <w:proofErr w:type="spellEnd"/>
            <w:r>
              <w:rPr>
                <w:lang w:val="tr-TR"/>
              </w:rPr>
              <w:t xml:space="preserve"> – D (m)</w:t>
            </w:r>
          </w:p>
        </w:tc>
        <w:tc>
          <w:tcPr>
            <w:tcW w:w="4698" w:type="dxa"/>
          </w:tcPr>
          <w:p w:rsidR="00EE1DD4" w:rsidRDefault="00016053" w:rsidP="00EE1DD4">
            <w:pPr>
              <w:rPr>
                <w:lang w:val="tr-TR"/>
              </w:rPr>
            </w:pPr>
            <w:r>
              <w:rPr>
                <w:lang w:val="tr-TR"/>
              </w:rPr>
              <w:t>5.43 m</w:t>
            </w:r>
          </w:p>
        </w:tc>
      </w:tr>
      <w:tr w:rsidR="00EE1DD4" w:rsidTr="00EE1DD4">
        <w:tc>
          <w:tcPr>
            <w:tcW w:w="4698" w:type="dxa"/>
          </w:tcPr>
          <w:p w:rsidR="00EE1DD4" w:rsidRDefault="00EE1DD4" w:rsidP="00EE1DD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Effective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core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length</w:t>
            </w:r>
            <w:proofErr w:type="spellEnd"/>
            <w:r>
              <w:rPr>
                <w:lang w:val="tr-TR"/>
              </w:rPr>
              <w:t xml:space="preserve"> – l’ (m)</w:t>
            </w:r>
          </w:p>
        </w:tc>
        <w:tc>
          <w:tcPr>
            <w:tcW w:w="4698" w:type="dxa"/>
          </w:tcPr>
          <w:p w:rsidR="00EE1DD4" w:rsidRDefault="00016053" w:rsidP="00EE1DD4">
            <w:pPr>
              <w:rPr>
                <w:lang w:val="tr-TR"/>
              </w:rPr>
            </w:pPr>
            <w:r>
              <w:rPr>
                <w:lang w:val="tr-TR"/>
              </w:rPr>
              <w:t>1.06 m</w:t>
            </w:r>
          </w:p>
        </w:tc>
      </w:tr>
      <w:tr w:rsidR="00EE1DD4" w:rsidTr="00EE1DD4">
        <w:tc>
          <w:tcPr>
            <w:tcW w:w="4698" w:type="dxa"/>
          </w:tcPr>
          <w:p w:rsidR="00EE1DD4" w:rsidRDefault="00EE1DD4" w:rsidP="00EE1DD4">
            <w:pPr>
              <w:rPr>
                <w:lang w:val="tr-TR"/>
              </w:rPr>
            </w:pPr>
            <w:r>
              <w:rPr>
                <w:lang w:val="tr-TR"/>
              </w:rPr>
              <w:t xml:space="preserve">Outer </w:t>
            </w:r>
            <w:proofErr w:type="spellStart"/>
            <w:r>
              <w:rPr>
                <w:lang w:val="tr-TR"/>
              </w:rPr>
              <w:t>diamater</w:t>
            </w:r>
            <w:proofErr w:type="spellEnd"/>
            <w:r>
              <w:rPr>
                <w:lang w:val="tr-TR"/>
              </w:rPr>
              <w:t xml:space="preserve"> – Do (m)</w:t>
            </w:r>
          </w:p>
        </w:tc>
        <w:tc>
          <w:tcPr>
            <w:tcW w:w="4698" w:type="dxa"/>
          </w:tcPr>
          <w:p w:rsidR="00EE1DD4" w:rsidRDefault="00016053" w:rsidP="00EE1DD4">
            <w:pPr>
              <w:rPr>
                <w:lang w:val="tr-TR"/>
              </w:rPr>
            </w:pPr>
            <w:r>
              <w:rPr>
                <w:lang w:val="tr-TR"/>
              </w:rPr>
              <w:t>5.97 m</w:t>
            </w:r>
          </w:p>
        </w:tc>
      </w:tr>
    </w:tbl>
    <w:p w:rsidR="00EE1DD4" w:rsidRDefault="00EE1DD4" w:rsidP="00EE1DD4">
      <w:pPr>
        <w:rPr>
          <w:lang w:val="tr-TR"/>
        </w:rPr>
      </w:pPr>
    </w:p>
    <w:p w:rsidR="00762DC2" w:rsidRDefault="00762DC2" w:rsidP="00EE1DD4">
      <w:pPr>
        <w:rPr>
          <w:lang w:val="tr-TR"/>
        </w:rPr>
      </w:pPr>
      <w:proofErr w:type="spellStart"/>
      <w:r>
        <w:rPr>
          <w:lang w:val="tr-TR"/>
        </w:rPr>
        <w:lastRenderedPageBreak/>
        <w:t>Air-gap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provides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air-gap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minimum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Air-gap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loading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origion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xx.</w:t>
      </w:r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Air-gap</w:t>
      </w:r>
      <w:proofErr w:type="spellEnd"/>
      <w:r w:rsidR="002E73CC">
        <w:rPr>
          <w:lang w:val="tr-TR"/>
        </w:rPr>
        <w:t xml:space="preserve"> is </w:t>
      </w:r>
      <w:proofErr w:type="spellStart"/>
      <w:r w:rsidR="002E73CC">
        <w:rPr>
          <w:lang w:val="tr-TR"/>
        </w:rPr>
        <w:t>selected</w:t>
      </w:r>
      <w:proofErr w:type="spellEnd"/>
      <w:r w:rsidR="002E73CC">
        <w:rPr>
          <w:lang w:val="tr-TR"/>
        </w:rPr>
        <w:t xml:space="preserve"> </w:t>
      </w:r>
      <w:r w:rsidR="00A27DCF">
        <w:rPr>
          <w:lang w:val="tr-TR"/>
        </w:rPr>
        <w:t xml:space="preserve">as </w:t>
      </w:r>
      <w:r w:rsidR="002E73CC">
        <w:rPr>
          <w:lang w:val="tr-TR"/>
        </w:rPr>
        <w:t xml:space="preserve">16mm </w:t>
      </w:r>
      <w:proofErr w:type="spellStart"/>
      <w:r w:rsidR="002E73CC">
        <w:rPr>
          <w:lang w:val="tr-TR"/>
        </w:rPr>
        <w:t>to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reduce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surface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losses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and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increase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safety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margin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for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mechanical</w:t>
      </w:r>
      <w:proofErr w:type="spellEnd"/>
      <w:r w:rsidR="002E73CC">
        <w:rPr>
          <w:lang w:val="tr-TR"/>
        </w:rPr>
        <w:t xml:space="preserve"> </w:t>
      </w:r>
      <w:proofErr w:type="spellStart"/>
      <w:r w:rsidR="002E73CC">
        <w:rPr>
          <w:lang w:val="tr-TR"/>
        </w:rPr>
        <w:t>vibrations</w:t>
      </w:r>
      <w:proofErr w:type="spellEnd"/>
      <w:r w:rsidR="002E73CC">
        <w:rPr>
          <w:lang w:val="tr-TR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2"/>
        <w:gridCol w:w="7211"/>
        <w:gridCol w:w="1533"/>
      </w:tblGrid>
      <w:tr w:rsidR="00762DC2" w:rsidRPr="00F11342" w:rsidTr="00613C97">
        <w:trPr>
          <w:trHeight w:val="441"/>
        </w:trPr>
        <w:tc>
          <w:tcPr>
            <w:tcW w:w="704" w:type="dxa"/>
            <w:vAlign w:val="center"/>
          </w:tcPr>
          <w:p w:rsidR="00762DC2" w:rsidRPr="00F11342" w:rsidRDefault="00762DC2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762DC2" w:rsidRPr="00F11342" w:rsidRDefault="001C4978" w:rsidP="001C4978">
            <w:pPr>
              <w:jc w:val="center"/>
              <w:rPr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lang w:val="tr-TR"/>
                  </w:rPr>
                  <m:t>δ≥γ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tr-TR"/>
                  </w:rPr>
                  <m:t>=</m:t>
                </m:r>
                <m:r>
                  <w:rPr>
                    <w:rFonts w:ascii="Cambria Math" w:hAnsi="Cambria Math"/>
                    <w:lang w:val="tr-TR"/>
                  </w:rPr>
                  <m:t>13.2mm</m:t>
                </m:r>
              </m:oMath>
            </m:oMathPara>
          </w:p>
        </w:tc>
        <w:tc>
          <w:tcPr>
            <w:tcW w:w="754" w:type="dxa"/>
            <w:vAlign w:val="center"/>
          </w:tcPr>
          <w:p w:rsidR="00762DC2" w:rsidRPr="00F11342" w:rsidRDefault="00762DC2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3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762DC2" w:rsidRDefault="00762DC2" w:rsidP="00EE1DD4">
      <w:pPr>
        <w:rPr>
          <w:lang w:val="tr-TR"/>
        </w:rPr>
      </w:pPr>
    </w:p>
    <w:p w:rsidR="002D4E97" w:rsidRDefault="00D76FB7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pole</w:t>
      </w:r>
      <w:proofErr w:type="spellEnd"/>
      <w:r>
        <w:rPr>
          <w:lang w:val="tr-TR"/>
        </w:rPr>
        <w:t xml:space="preserve"> is, </w:t>
      </w:r>
      <w:proofErr w:type="spellStart"/>
      <w:r>
        <w:rPr>
          <w:lang w:val="tr-TR"/>
        </w:rPr>
        <w:t>now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air-gap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dimensions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1"/>
        <w:gridCol w:w="7212"/>
        <w:gridCol w:w="1533"/>
      </w:tblGrid>
      <w:tr w:rsidR="00904206" w:rsidRPr="00F11342" w:rsidTr="00613C97">
        <w:trPr>
          <w:trHeight w:val="441"/>
        </w:trPr>
        <w:tc>
          <w:tcPr>
            <w:tcW w:w="704" w:type="dxa"/>
            <w:vAlign w:val="center"/>
          </w:tcPr>
          <w:p w:rsidR="00904206" w:rsidRPr="00F11342" w:rsidRDefault="00904206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904206" w:rsidRPr="00F11342" w:rsidRDefault="0088338D" w:rsidP="00613C97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pole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δ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π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pole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:rsidR="00904206" w:rsidRPr="00F11342" w:rsidRDefault="00904206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4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904206" w:rsidRDefault="00904206">
      <w:pPr>
        <w:rPr>
          <w:lang w:val="tr-TR"/>
        </w:rPr>
      </w:pPr>
    </w:p>
    <w:p w:rsidR="00904206" w:rsidRDefault="0088338D">
      <w:pPr>
        <w:rPr>
          <w:lang w:val="tr-TR"/>
        </w:rPr>
      </w:pPr>
      <w:r>
        <w:rPr>
          <w:lang w:val="tr-TR"/>
        </w:rPr>
        <w:t xml:space="preserve">Simple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 is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47"/>
        <w:gridCol w:w="7216"/>
        <w:gridCol w:w="1533"/>
      </w:tblGrid>
      <w:tr w:rsidR="00D76FB7" w:rsidRPr="00F11342" w:rsidTr="00613C97">
        <w:trPr>
          <w:trHeight w:val="441"/>
        </w:trPr>
        <w:tc>
          <w:tcPr>
            <w:tcW w:w="704" w:type="dxa"/>
            <w:vAlign w:val="center"/>
          </w:tcPr>
          <w:p w:rsidR="00D76FB7" w:rsidRPr="00F11342" w:rsidRDefault="00D76FB7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D76FB7" w:rsidRPr="00F11342" w:rsidRDefault="00904206" w:rsidP="00904206">
            <w:pPr>
              <w:jc w:val="center"/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ph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tr-TR"/>
                          </w:rPr>
                          <m:t>2π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2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pole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tr-T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w1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4" w:type="dxa"/>
            <w:vAlign w:val="center"/>
          </w:tcPr>
          <w:p w:rsidR="00D76FB7" w:rsidRPr="00F11342" w:rsidRDefault="00D76FB7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4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D76FB7" w:rsidRDefault="00D76FB7" w:rsidP="00966B62">
      <w:pPr>
        <w:rPr>
          <w:lang w:val="tr-TR"/>
        </w:rPr>
      </w:pPr>
    </w:p>
    <w:p w:rsidR="00966B62" w:rsidRDefault="002B18D4" w:rsidP="00966B62">
      <w:pPr>
        <w:rPr>
          <w:lang w:val="tr-TR"/>
        </w:rPr>
      </w:pPr>
      <w:proofErr w:type="spellStart"/>
      <w:r>
        <w:rPr>
          <w:lang w:val="tr-TR"/>
        </w:rPr>
        <w:t>Before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moving</w:t>
      </w:r>
      <w:proofErr w:type="spellEnd"/>
      <w:r>
        <w:rPr>
          <w:lang w:val="tr-TR"/>
        </w:rPr>
        <w:t xml:space="preserve"> on MMF </w:t>
      </w:r>
      <w:proofErr w:type="spellStart"/>
      <w:r>
        <w:rPr>
          <w:lang w:val="tr-TR"/>
        </w:rPr>
        <w:t>calculation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width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acceptable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width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width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pitch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shared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side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tooth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majorly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saturate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. </w:t>
      </w:r>
      <w:proofErr w:type="spellStart"/>
      <w:r w:rsidR="008D3812">
        <w:rPr>
          <w:lang w:val="tr-TR"/>
        </w:rPr>
        <w:t>While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portion</w:t>
      </w:r>
      <w:proofErr w:type="spellEnd"/>
      <w:r w:rsidR="008D3812">
        <w:rPr>
          <w:lang w:val="tr-TR"/>
        </w:rPr>
        <w:t xml:space="preserve"> of </w:t>
      </w:r>
      <w:proofErr w:type="spellStart"/>
      <w:r w:rsidR="008D3812">
        <w:rPr>
          <w:lang w:val="tr-TR"/>
        </w:rPr>
        <w:t>the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share</w:t>
      </w:r>
      <w:proofErr w:type="spellEnd"/>
      <w:r w:rsidR="008D3812">
        <w:rPr>
          <w:lang w:val="tr-TR"/>
        </w:rPr>
        <w:t xml:space="preserve"> on </w:t>
      </w:r>
      <w:proofErr w:type="spellStart"/>
      <w:r w:rsidR="008D3812">
        <w:rPr>
          <w:lang w:val="tr-TR"/>
        </w:rPr>
        <w:t>the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side</w:t>
      </w:r>
      <w:proofErr w:type="spellEnd"/>
      <w:r w:rsidR="008D3812">
        <w:rPr>
          <w:lang w:val="tr-TR"/>
        </w:rPr>
        <w:t xml:space="preserve"> of </w:t>
      </w:r>
      <w:proofErr w:type="spellStart"/>
      <w:r w:rsidR="008D3812">
        <w:rPr>
          <w:lang w:val="tr-TR"/>
        </w:rPr>
        <w:t>tooth</w:t>
      </w:r>
      <w:proofErr w:type="spellEnd"/>
      <w:r w:rsidR="008D3812">
        <w:rPr>
          <w:lang w:val="tr-TR"/>
        </w:rPr>
        <w:t xml:space="preserve"> is %60, %40 of </w:t>
      </w:r>
      <w:proofErr w:type="spellStart"/>
      <w:r w:rsidR="008D3812">
        <w:rPr>
          <w:lang w:val="tr-TR"/>
        </w:rPr>
        <w:t>slot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pitch</w:t>
      </w:r>
      <w:proofErr w:type="spellEnd"/>
      <w:r w:rsidR="008D3812">
        <w:rPr>
          <w:lang w:val="tr-TR"/>
        </w:rPr>
        <w:t xml:space="preserve"> is </w:t>
      </w:r>
      <w:proofErr w:type="spellStart"/>
      <w:r w:rsidR="008D3812">
        <w:rPr>
          <w:lang w:val="tr-TR"/>
        </w:rPr>
        <w:t>taken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by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slot</w:t>
      </w:r>
      <w:proofErr w:type="spellEnd"/>
      <w:r w:rsidR="008D3812">
        <w:rPr>
          <w:lang w:val="tr-TR"/>
        </w:rPr>
        <w:t xml:space="preserve">, </w:t>
      </w:r>
      <w:proofErr w:type="spellStart"/>
      <w:r w:rsidR="008D3812">
        <w:rPr>
          <w:lang w:val="tr-TR"/>
        </w:rPr>
        <w:t>which</w:t>
      </w:r>
      <w:proofErr w:type="spellEnd"/>
      <w:r w:rsidR="008D3812">
        <w:rPr>
          <w:lang w:val="tr-TR"/>
        </w:rPr>
        <w:t xml:space="preserve"> is </w:t>
      </w:r>
      <w:proofErr w:type="gramStart"/>
      <w:r w:rsidR="008D3812">
        <w:rPr>
          <w:lang w:val="tr-TR"/>
        </w:rPr>
        <w:t>done</w:t>
      </w:r>
      <w:proofErr w:type="gramEnd"/>
      <w:r w:rsidR="008D3812">
        <w:rPr>
          <w:lang w:val="tr-TR"/>
        </w:rPr>
        <w:t xml:space="preserve"> in </w:t>
      </w:r>
      <w:proofErr w:type="spellStart"/>
      <w:r w:rsidR="008D3812">
        <w:rPr>
          <w:lang w:val="tr-TR"/>
        </w:rPr>
        <w:t>purposely</w:t>
      </w:r>
      <w:proofErr w:type="spellEnd"/>
      <w:r w:rsidR="008D3812">
        <w:rPr>
          <w:lang w:val="tr-TR"/>
        </w:rPr>
        <w:t xml:space="preserve"> since </w:t>
      </w:r>
      <w:proofErr w:type="spellStart"/>
      <w:r w:rsidR="008D3812">
        <w:rPr>
          <w:lang w:val="tr-TR"/>
        </w:rPr>
        <w:t>the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insulation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materials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are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enhanced</w:t>
      </w:r>
      <w:proofErr w:type="spellEnd"/>
      <w:r w:rsidR="008D3812">
        <w:rPr>
          <w:lang w:val="tr-TR"/>
        </w:rPr>
        <w:t xml:space="preserve">. </w:t>
      </w:r>
      <w:proofErr w:type="spellStart"/>
      <w:r w:rsidR="008D3812">
        <w:rPr>
          <w:lang w:val="tr-TR"/>
        </w:rPr>
        <w:t>Calculated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slot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width</w:t>
      </w:r>
      <w:proofErr w:type="spellEnd"/>
      <w:r w:rsidR="008D3812">
        <w:rPr>
          <w:lang w:val="tr-TR"/>
        </w:rPr>
        <w:t xml:space="preserve">, </w:t>
      </w:r>
      <w:proofErr w:type="spellStart"/>
      <w:r w:rsidR="008D3812">
        <w:rPr>
          <w:lang w:val="tr-TR"/>
        </w:rPr>
        <w:t>tooth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width</w:t>
      </w:r>
      <w:proofErr w:type="spellEnd"/>
      <w:r w:rsidR="008D3812">
        <w:rPr>
          <w:lang w:val="tr-TR"/>
        </w:rPr>
        <w:t xml:space="preserve">, </w:t>
      </w:r>
      <w:proofErr w:type="spellStart"/>
      <w:r w:rsidR="008D3812">
        <w:rPr>
          <w:lang w:val="tr-TR"/>
        </w:rPr>
        <w:t>slot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area</w:t>
      </w:r>
      <w:proofErr w:type="spellEnd"/>
      <w:r w:rsidR="008D3812">
        <w:rPr>
          <w:lang w:val="tr-TR"/>
        </w:rPr>
        <w:t xml:space="preserve">, </w:t>
      </w:r>
      <w:proofErr w:type="spellStart"/>
      <w:r w:rsidR="008D3812">
        <w:rPr>
          <w:lang w:val="tr-TR"/>
        </w:rPr>
        <w:t>back-core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height</w:t>
      </w:r>
      <w:proofErr w:type="spellEnd"/>
      <w:r w:rsidR="008D3812">
        <w:rPr>
          <w:lang w:val="tr-TR"/>
        </w:rPr>
        <w:t xml:space="preserve">, </w:t>
      </w:r>
      <w:proofErr w:type="spellStart"/>
      <w:r w:rsidR="008D3812">
        <w:rPr>
          <w:lang w:val="tr-TR"/>
        </w:rPr>
        <w:t>tooth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flux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density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and</w:t>
      </w:r>
      <w:proofErr w:type="spellEnd"/>
      <w:r w:rsidR="008D3812">
        <w:rPr>
          <w:lang w:val="tr-TR"/>
        </w:rPr>
        <w:t xml:space="preserve">, </w:t>
      </w:r>
      <w:proofErr w:type="spellStart"/>
      <w:r w:rsidR="008D3812">
        <w:rPr>
          <w:lang w:val="tr-TR"/>
        </w:rPr>
        <w:t>back-core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flux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density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are</w:t>
      </w:r>
      <w:proofErr w:type="spellEnd"/>
      <w:r w:rsidR="008D3812">
        <w:rPr>
          <w:lang w:val="tr-TR"/>
        </w:rPr>
        <w:t xml:space="preserve"> </w:t>
      </w:r>
      <w:proofErr w:type="spellStart"/>
      <w:r w:rsidR="008D3812">
        <w:rPr>
          <w:lang w:val="tr-TR"/>
        </w:rPr>
        <w:t>given</w:t>
      </w:r>
      <w:proofErr w:type="spellEnd"/>
      <w:r w:rsidR="008D3812">
        <w:rPr>
          <w:lang w:val="tr-TR"/>
        </w:rPr>
        <w:t xml:space="preserve"> in </w:t>
      </w:r>
      <w:proofErr w:type="spellStart"/>
      <w:r w:rsidR="008D3812">
        <w:rPr>
          <w:lang w:val="tr-TR"/>
        </w:rPr>
        <w:t>table</w:t>
      </w:r>
      <w:proofErr w:type="spellEnd"/>
      <w:r w:rsidR="008D3812">
        <w:rPr>
          <w:lang w:val="tr-TR"/>
        </w:rPr>
        <w:t xml:space="preserve"> xx.</w:t>
      </w:r>
    </w:p>
    <w:p w:rsidR="005141D5" w:rsidRDefault="005141D5" w:rsidP="00966B62">
      <w:pPr>
        <w:rPr>
          <w:lang w:val="tr-TR"/>
        </w:rPr>
      </w:pPr>
      <w:proofErr w:type="spellStart"/>
      <w:r>
        <w:rPr>
          <w:lang w:val="tr-TR"/>
        </w:rPr>
        <w:t>Although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densities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xx can be </w:t>
      </w:r>
      <w:proofErr w:type="spellStart"/>
      <w:r>
        <w:rPr>
          <w:lang w:val="tr-TR"/>
        </w:rPr>
        <w:t>seen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excessively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high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peak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sinusoial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waveform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however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doesn’t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sinusoidal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peak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, but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0.85 (cos30)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sinusoidal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peak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. </w:t>
      </w:r>
      <w:proofErr w:type="spellStart"/>
      <w:r w:rsidR="00846AB7">
        <w:rPr>
          <w:lang w:val="tr-TR"/>
        </w:rPr>
        <w:t>Also</w:t>
      </w:r>
      <w:proofErr w:type="spellEnd"/>
      <w:r w:rsidR="00846AB7">
        <w:rPr>
          <w:lang w:val="tr-TR"/>
        </w:rPr>
        <w:t xml:space="preserve">, </w:t>
      </w:r>
      <w:proofErr w:type="spellStart"/>
      <w:r w:rsidR="00846AB7">
        <w:rPr>
          <w:lang w:val="tr-TR"/>
        </w:rPr>
        <w:t>effective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length</w:t>
      </w:r>
      <w:proofErr w:type="spellEnd"/>
      <w:r w:rsidR="00846AB7">
        <w:rPr>
          <w:lang w:val="tr-TR"/>
        </w:rPr>
        <w:t xml:space="preserve"> of </w:t>
      </w:r>
      <w:proofErr w:type="spellStart"/>
      <w:r w:rsidR="00846AB7">
        <w:rPr>
          <w:lang w:val="tr-TR"/>
        </w:rPr>
        <w:t>the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core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becomes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more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when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the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ducts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are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placed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due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to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the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carter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coefficient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approximation</w:t>
      </w:r>
      <w:proofErr w:type="spellEnd"/>
      <w:r w:rsidR="00846AB7">
        <w:rPr>
          <w:lang w:val="tr-TR"/>
        </w:rPr>
        <w:t xml:space="preserve">. </w:t>
      </w:r>
      <w:proofErr w:type="spellStart"/>
      <w:r w:rsidR="00846AB7">
        <w:rPr>
          <w:lang w:val="tr-TR"/>
        </w:rPr>
        <w:t>Hence</w:t>
      </w:r>
      <w:proofErr w:type="spellEnd"/>
      <w:r w:rsidR="00846AB7">
        <w:rPr>
          <w:lang w:val="tr-TR"/>
        </w:rPr>
        <w:t xml:space="preserve">, </w:t>
      </w:r>
      <w:proofErr w:type="spellStart"/>
      <w:r w:rsidR="00846AB7">
        <w:rPr>
          <w:lang w:val="tr-TR"/>
        </w:rPr>
        <w:t>the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flux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density</w:t>
      </w:r>
      <w:proofErr w:type="spellEnd"/>
      <w:r w:rsidR="00846AB7">
        <w:rPr>
          <w:lang w:val="tr-TR"/>
        </w:rPr>
        <w:t xml:space="preserve"> in </w:t>
      </w:r>
      <w:proofErr w:type="spellStart"/>
      <w:r w:rsidR="00846AB7">
        <w:rPr>
          <w:lang w:val="tr-TR"/>
        </w:rPr>
        <w:t>tooth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and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back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core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slighlty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decreases</w:t>
      </w:r>
      <w:proofErr w:type="spellEnd"/>
      <w:r w:rsidR="00846AB7">
        <w:rPr>
          <w:lang w:val="tr-TR"/>
        </w:rPr>
        <w:t xml:space="preserve">. </w:t>
      </w:r>
      <w:proofErr w:type="spellStart"/>
      <w:r w:rsidR="00846AB7">
        <w:rPr>
          <w:lang w:val="tr-TR"/>
        </w:rPr>
        <w:t>The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length</w:t>
      </w:r>
      <w:proofErr w:type="spellEnd"/>
      <w:r w:rsidR="00846AB7">
        <w:rPr>
          <w:lang w:val="tr-TR"/>
        </w:rPr>
        <w:t xml:space="preserve">, </w:t>
      </w:r>
      <w:proofErr w:type="spellStart"/>
      <w:r w:rsidR="00846AB7">
        <w:rPr>
          <w:lang w:val="tr-TR"/>
        </w:rPr>
        <w:t>bore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diamater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and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outer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diameter</w:t>
      </w:r>
      <w:proofErr w:type="spellEnd"/>
      <w:r w:rsidR="00846AB7">
        <w:rPr>
          <w:lang w:val="tr-TR"/>
        </w:rPr>
        <w:t xml:space="preserve"> can be </w:t>
      </w:r>
      <w:proofErr w:type="spellStart"/>
      <w:r w:rsidR="00846AB7">
        <w:rPr>
          <w:lang w:val="tr-TR"/>
        </w:rPr>
        <w:t>increased</w:t>
      </w:r>
      <w:proofErr w:type="spellEnd"/>
      <w:r w:rsidR="00846AB7">
        <w:rPr>
          <w:lang w:val="tr-TR"/>
        </w:rPr>
        <w:t xml:space="preserve">, </w:t>
      </w:r>
      <w:proofErr w:type="spellStart"/>
      <w:r w:rsidR="00846AB7">
        <w:rPr>
          <w:lang w:val="tr-TR"/>
        </w:rPr>
        <w:t>which</w:t>
      </w:r>
      <w:proofErr w:type="spellEnd"/>
      <w:r w:rsidR="00846AB7">
        <w:rPr>
          <w:lang w:val="tr-TR"/>
        </w:rPr>
        <w:t xml:space="preserve"> can be a </w:t>
      </w:r>
      <w:proofErr w:type="spellStart"/>
      <w:r w:rsidR="00846AB7">
        <w:rPr>
          <w:lang w:val="tr-TR"/>
        </w:rPr>
        <w:t>good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and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safe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solution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against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saturation</w:t>
      </w:r>
      <w:proofErr w:type="spellEnd"/>
      <w:r w:rsidR="00846AB7">
        <w:rPr>
          <w:lang w:val="tr-TR"/>
        </w:rPr>
        <w:t xml:space="preserve"> in </w:t>
      </w:r>
      <w:proofErr w:type="spellStart"/>
      <w:r w:rsidR="00846AB7">
        <w:rPr>
          <w:lang w:val="tr-TR"/>
        </w:rPr>
        <w:t>tooth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and</w:t>
      </w:r>
      <w:proofErr w:type="spellEnd"/>
      <w:r w:rsidR="00846AB7">
        <w:rPr>
          <w:lang w:val="tr-TR"/>
        </w:rPr>
        <w:t xml:space="preserve"> </w:t>
      </w:r>
      <w:proofErr w:type="spellStart"/>
      <w:r w:rsidR="00846AB7">
        <w:rPr>
          <w:lang w:val="tr-TR"/>
        </w:rPr>
        <w:t>back-core</w:t>
      </w:r>
      <w:proofErr w:type="spellEnd"/>
      <w:r w:rsidR="00846AB7">
        <w:rPr>
          <w:lang w:val="tr-TR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21E2B" w:rsidTr="00D21E2B">
        <w:tc>
          <w:tcPr>
            <w:tcW w:w="4698" w:type="dxa"/>
          </w:tcPr>
          <w:p w:rsidR="00D21E2B" w:rsidRDefault="00D21E2B" w:rsidP="00966B6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Parameter</w:t>
            </w:r>
            <w:proofErr w:type="spellEnd"/>
          </w:p>
        </w:tc>
        <w:tc>
          <w:tcPr>
            <w:tcW w:w="4698" w:type="dxa"/>
          </w:tcPr>
          <w:p w:rsidR="00D21E2B" w:rsidRDefault="00D21E2B" w:rsidP="00966B62">
            <w:pPr>
              <w:rPr>
                <w:lang w:val="tr-TR"/>
              </w:rPr>
            </w:pPr>
            <w:r>
              <w:rPr>
                <w:lang w:val="tr-TR"/>
              </w:rPr>
              <w:t>Value</w:t>
            </w:r>
          </w:p>
        </w:tc>
      </w:tr>
      <w:tr w:rsidR="00D21E2B" w:rsidTr="00D21E2B">
        <w:tc>
          <w:tcPr>
            <w:tcW w:w="4698" w:type="dxa"/>
          </w:tcPr>
          <w:p w:rsidR="00D21E2B" w:rsidRDefault="009C6952" w:rsidP="00966B6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Slot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pitch</w:t>
            </w:r>
            <w:proofErr w:type="spellEnd"/>
          </w:p>
        </w:tc>
        <w:tc>
          <w:tcPr>
            <w:tcW w:w="4698" w:type="dxa"/>
          </w:tcPr>
          <w:p w:rsidR="00D21E2B" w:rsidRDefault="005141D5" w:rsidP="00966B62">
            <w:pPr>
              <w:rPr>
                <w:lang w:val="tr-TR"/>
              </w:rPr>
            </w:pPr>
            <w:r>
              <w:rPr>
                <w:lang w:val="tr-TR"/>
              </w:rPr>
              <w:t>56.9 mm</w:t>
            </w:r>
          </w:p>
        </w:tc>
      </w:tr>
      <w:tr w:rsidR="00D21E2B" w:rsidTr="00D21E2B">
        <w:tc>
          <w:tcPr>
            <w:tcW w:w="4698" w:type="dxa"/>
          </w:tcPr>
          <w:p w:rsidR="00D21E2B" w:rsidRDefault="009C6952" w:rsidP="00966B6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Slot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area</w:t>
            </w:r>
            <w:proofErr w:type="spellEnd"/>
          </w:p>
        </w:tc>
        <w:tc>
          <w:tcPr>
            <w:tcW w:w="4698" w:type="dxa"/>
          </w:tcPr>
          <w:p w:rsidR="00D21E2B" w:rsidRDefault="005141D5" w:rsidP="00966B62">
            <w:pPr>
              <w:rPr>
                <w:lang w:val="tr-TR"/>
              </w:rPr>
            </w:pPr>
            <w:r>
              <w:rPr>
                <w:lang w:val="tr-TR"/>
              </w:rPr>
              <w:t>2727 mm2</w:t>
            </w:r>
          </w:p>
        </w:tc>
      </w:tr>
      <w:tr w:rsidR="00D21E2B" w:rsidTr="00D21E2B">
        <w:tc>
          <w:tcPr>
            <w:tcW w:w="4698" w:type="dxa"/>
          </w:tcPr>
          <w:p w:rsidR="00D21E2B" w:rsidRDefault="009C6952" w:rsidP="00966B6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Slot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width</w:t>
            </w:r>
            <w:proofErr w:type="spellEnd"/>
          </w:p>
        </w:tc>
        <w:tc>
          <w:tcPr>
            <w:tcW w:w="4698" w:type="dxa"/>
          </w:tcPr>
          <w:p w:rsidR="00D21E2B" w:rsidRDefault="005141D5" w:rsidP="00966B62">
            <w:pPr>
              <w:rPr>
                <w:lang w:val="tr-TR"/>
              </w:rPr>
            </w:pPr>
            <w:r>
              <w:rPr>
                <w:lang w:val="tr-TR"/>
              </w:rPr>
              <w:t>22.7 mm</w:t>
            </w:r>
          </w:p>
        </w:tc>
      </w:tr>
      <w:tr w:rsidR="00D21E2B" w:rsidTr="00D21E2B">
        <w:tc>
          <w:tcPr>
            <w:tcW w:w="4698" w:type="dxa"/>
          </w:tcPr>
          <w:p w:rsidR="00D21E2B" w:rsidRDefault="009C6952" w:rsidP="00966B6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Tooth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width</w:t>
            </w:r>
            <w:proofErr w:type="spellEnd"/>
          </w:p>
        </w:tc>
        <w:tc>
          <w:tcPr>
            <w:tcW w:w="4698" w:type="dxa"/>
          </w:tcPr>
          <w:p w:rsidR="00D21E2B" w:rsidRDefault="005141D5" w:rsidP="00966B62">
            <w:pPr>
              <w:rPr>
                <w:lang w:val="tr-TR"/>
              </w:rPr>
            </w:pPr>
            <w:r>
              <w:rPr>
                <w:lang w:val="tr-TR"/>
              </w:rPr>
              <w:t>34.1 mm</w:t>
            </w:r>
          </w:p>
        </w:tc>
      </w:tr>
      <w:tr w:rsidR="00D21E2B" w:rsidTr="00D21E2B">
        <w:tc>
          <w:tcPr>
            <w:tcW w:w="4698" w:type="dxa"/>
          </w:tcPr>
          <w:p w:rsidR="00D21E2B" w:rsidRDefault="009C6952" w:rsidP="00966B6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Back-core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height</w:t>
            </w:r>
            <w:proofErr w:type="spellEnd"/>
          </w:p>
        </w:tc>
        <w:tc>
          <w:tcPr>
            <w:tcW w:w="4698" w:type="dxa"/>
          </w:tcPr>
          <w:p w:rsidR="00D21E2B" w:rsidRDefault="005141D5" w:rsidP="00966B62">
            <w:pPr>
              <w:rPr>
                <w:lang w:val="tr-TR"/>
              </w:rPr>
            </w:pPr>
            <w:r>
              <w:rPr>
                <w:lang w:val="tr-TR"/>
              </w:rPr>
              <w:t>146 mm</w:t>
            </w:r>
          </w:p>
        </w:tc>
      </w:tr>
      <w:tr w:rsidR="00D21E2B" w:rsidTr="00D21E2B">
        <w:tc>
          <w:tcPr>
            <w:tcW w:w="4698" w:type="dxa"/>
          </w:tcPr>
          <w:p w:rsidR="00D21E2B" w:rsidRDefault="00A77307" w:rsidP="00966B6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Tooth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flux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density</w:t>
            </w:r>
            <w:proofErr w:type="spellEnd"/>
            <w:r w:rsidR="005141D5">
              <w:rPr>
                <w:lang w:val="tr-TR"/>
              </w:rPr>
              <w:t xml:space="preserve"> (</w:t>
            </w:r>
            <w:proofErr w:type="spellStart"/>
            <w:r w:rsidR="005141D5">
              <w:rPr>
                <w:lang w:val="tr-TR"/>
              </w:rPr>
              <w:t>Peak</w:t>
            </w:r>
            <w:proofErr w:type="spellEnd"/>
            <w:r w:rsidR="005141D5">
              <w:rPr>
                <w:lang w:val="tr-TR"/>
              </w:rPr>
              <w:t>)</w:t>
            </w:r>
          </w:p>
        </w:tc>
        <w:tc>
          <w:tcPr>
            <w:tcW w:w="4698" w:type="dxa"/>
          </w:tcPr>
          <w:p w:rsidR="00D21E2B" w:rsidRDefault="005141D5" w:rsidP="00966B62">
            <w:pPr>
              <w:rPr>
                <w:lang w:val="tr-TR"/>
              </w:rPr>
            </w:pPr>
            <w:r>
              <w:rPr>
                <w:lang w:val="tr-TR"/>
              </w:rPr>
              <w:t>1.75 T</w:t>
            </w:r>
            <w:r w:rsidR="00A65BA8">
              <w:rPr>
                <w:lang w:val="tr-TR"/>
              </w:rPr>
              <w:t xml:space="preserve"> (1.52 T – cos30°)</w:t>
            </w:r>
          </w:p>
        </w:tc>
      </w:tr>
      <w:tr w:rsidR="00A77307" w:rsidTr="00D21E2B">
        <w:tc>
          <w:tcPr>
            <w:tcW w:w="4698" w:type="dxa"/>
          </w:tcPr>
          <w:p w:rsidR="00A77307" w:rsidRDefault="00A77307" w:rsidP="00966B62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Back-core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flux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density</w:t>
            </w:r>
            <w:proofErr w:type="spellEnd"/>
          </w:p>
        </w:tc>
        <w:tc>
          <w:tcPr>
            <w:tcW w:w="4698" w:type="dxa"/>
          </w:tcPr>
          <w:p w:rsidR="00A77307" w:rsidRDefault="005141D5" w:rsidP="00966B62">
            <w:pPr>
              <w:rPr>
                <w:lang w:val="tr-TR"/>
              </w:rPr>
            </w:pPr>
            <w:r>
              <w:rPr>
                <w:lang w:val="tr-TR"/>
              </w:rPr>
              <w:t>1.92 T</w:t>
            </w:r>
            <w:r w:rsidR="00A65BA8">
              <w:rPr>
                <w:lang w:val="tr-TR"/>
              </w:rPr>
              <w:t xml:space="preserve"> (1.66 T – cos30°)</w:t>
            </w:r>
          </w:p>
        </w:tc>
      </w:tr>
    </w:tbl>
    <w:p w:rsidR="009A198E" w:rsidRDefault="009A198E" w:rsidP="00966B62">
      <w:pPr>
        <w:rPr>
          <w:lang w:val="tr-TR"/>
        </w:rPr>
      </w:pPr>
      <w:proofErr w:type="spellStart"/>
      <w:r>
        <w:rPr>
          <w:lang w:val="tr-TR"/>
        </w:rPr>
        <w:lastRenderedPageBreak/>
        <w:t>Excitation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MMF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air-gap</w:t>
      </w:r>
      <w:proofErr w:type="spellEnd"/>
      <w:r>
        <w:rPr>
          <w:lang w:val="tr-TR"/>
        </w:rPr>
        <w:t xml:space="preserve"> since MMF </w:t>
      </w:r>
      <w:proofErr w:type="spellStart"/>
      <w:r>
        <w:rPr>
          <w:lang w:val="tr-TR"/>
        </w:rPr>
        <w:t>drops</w:t>
      </w:r>
      <w:proofErr w:type="spellEnd"/>
      <w:r>
        <w:rPr>
          <w:lang w:val="tr-TR"/>
        </w:rPr>
        <w:t xml:space="preserve"> on stator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rotor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neglible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saturated</w:t>
      </w:r>
      <w:proofErr w:type="spellEnd"/>
      <w:r>
        <w:rPr>
          <w:lang w:val="tr-TR"/>
        </w:rPr>
        <w:t xml:space="preserve">. MMF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</w:t>
      </w:r>
      <w:proofErr w:type="spellEnd"/>
      <w:r>
        <w:rPr>
          <w:lang w:val="tr-TR"/>
        </w:rPr>
        <w:t xml:space="preserve"> is not </w:t>
      </w:r>
      <w:proofErr w:type="spellStart"/>
      <w:r>
        <w:rPr>
          <w:lang w:val="tr-TR"/>
        </w:rPr>
        <w:t>sufficient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armatüre </w:t>
      </w:r>
      <w:proofErr w:type="spellStart"/>
      <w:r>
        <w:rPr>
          <w:lang w:val="tr-TR"/>
        </w:rPr>
        <w:t>reaction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effect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armature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reaction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shown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xx.</w:t>
      </w:r>
    </w:p>
    <w:p w:rsidR="00926A36" w:rsidRDefault="00926A36" w:rsidP="00926A36">
      <w:pPr>
        <w:jc w:val="center"/>
        <w:rPr>
          <w:lang w:val="tr-TR"/>
        </w:rPr>
      </w:pPr>
      <w:r>
        <w:rPr>
          <w:noProof/>
          <w:lang w:val="en-US"/>
        </w:rPr>
        <w:drawing>
          <wp:inline distT="0" distB="0" distL="0" distR="0">
            <wp:extent cx="3030206" cy="2880000"/>
            <wp:effectExtent l="0" t="0" r="0" b="0"/>
            <wp:docPr id="2" name="Resim 2" descr="https://1.bp.blogspot.com/-YCfNNTqayFs/X-Xe3jPftRI/AAAAAAAAChk/jM5vTB70MBMotQKCMc-Cv5LeIj2Tct1YgCLcBGAsYHQ/s387/ALT%2B-%2BMMF%2Bmethod%2Bof%2BALT%2B-%2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YCfNNTqayFs/X-Xe3jPftRI/AAAAAAAAChk/jM5vTB70MBMotQKCMc-Cv5LeIj2Tct1YgCLcBGAsYHQ/s387/ALT%2B-%2BMMF%2Bmethod%2Bof%2BALT%2B-%2B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36" w:rsidRDefault="00926A36" w:rsidP="00926A36">
      <w:pPr>
        <w:rPr>
          <w:lang w:val="tr-TR"/>
        </w:rPr>
      </w:pPr>
    </w:p>
    <w:p w:rsidR="00926A36" w:rsidRDefault="003720FE" w:rsidP="00926A36">
      <w:pPr>
        <w:rPr>
          <w:lang w:val="tr-TR"/>
        </w:rPr>
      </w:pPr>
      <w:r>
        <w:rPr>
          <w:lang w:val="tr-TR"/>
        </w:rPr>
        <w:t xml:space="preserve">MMF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armature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taken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MMF.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MMF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Equation</w:t>
      </w:r>
      <w:proofErr w:type="spellEnd"/>
      <w:r>
        <w:rPr>
          <w:lang w:val="tr-TR"/>
        </w:rPr>
        <w:t xml:space="preserve"> xx.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MMF is </w:t>
      </w:r>
      <w:proofErr w:type="spellStart"/>
      <w:r>
        <w:rPr>
          <w:lang w:val="tr-TR"/>
        </w:rPr>
        <w:t>multiplied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1.2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consider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leakage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holes</w:t>
      </w:r>
      <w:proofErr w:type="spellEnd"/>
      <w:r>
        <w:rPr>
          <w:lang w:val="tr-TR"/>
        </w:rPr>
        <w:t xml:space="preserve"> of damper </w:t>
      </w:r>
      <w:proofErr w:type="spellStart"/>
      <w:r>
        <w:rPr>
          <w:lang w:val="tr-TR"/>
        </w:rPr>
        <w:t>windings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permeability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cores</w:t>
      </w:r>
      <w:proofErr w:type="spellEnd"/>
      <w:r>
        <w:rPr>
          <w:lang w:val="tr-TR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3"/>
        <w:gridCol w:w="7390"/>
        <w:gridCol w:w="1533"/>
      </w:tblGrid>
      <w:tr w:rsidR="00016A78" w:rsidRPr="00F11342" w:rsidTr="00613C97">
        <w:trPr>
          <w:trHeight w:val="441"/>
        </w:trPr>
        <w:tc>
          <w:tcPr>
            <w:tcW w:w="704" w:type="dxa"/>
            <w:vAlign w:val="center"/>
          </w:tcPr>
          <w:p w:rsidR="003720FE" w:rsidRPr="00F11342" w:rsidRDefault="003720FE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3720FE" w:rsidRPr="009D388A" w:rsidRDefault="009D388A" w:rsidP="009D388A">
            <w:pPr>
              <w:jc w:val="center"/>
              <w:rPr>
                <w:rFonts w:eastAsiaTheme="minorEastAsia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pole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airgap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=MM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field,no load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 xml:space="preserve"> </m:t>
                </m:r>
              </m:oMath>
            </m:oMathPara>
          </w:p>
          <w:p w:rsidR="009D388A" w:rsidRDefault="009D388A" w:rsidP="009D388A">
            <w:pPr>
              <w:jc w:val="center"/>
              <w:rPr>
                <w:rFonts w:eastAsiaTheme="minorEastAsia"/>
                <w:lang w:val="tr-TR"/>
              </w:rPr>
            </w:pPr>
          </w:p>
          <w:p w:rsidR="009D388A" w:rsidRPr="00016A78" w:rsidRDefault="009D388A" w:rsidP="009D388A">
            <w:pPr>
              <w:jc w:val="center"/>
              <w:rPr>
                <w:rFonts w:eastAsiaTheme="minorEastAsia"/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lang w:val="tr-TR"/>
                  </w:rPr>
                  <m:t>MM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armature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=</m:t>
                </m:r>
                <m:r>
                  <w:rPr>
                    <w:rFonts w:ascii="Cambria Math" w:hAnsi="Cambria Math"/>
                    <w:lang w:val="tr-TR"/>
                  </w:rPr>
                  <m:t>2.7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ph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w1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/p</m:t>
                </m:r>
              </m:oMath>
            </m:oMathPara>
          </w:p>
          <w:p w:rsidR="00016A78" w:rsidRDefault="00016A78" w:rsidP="009D388A">
            <w:pPr>
              <w:jc w:val="center"/>
              <w:rPr>
                <w:rFonts w:eastAsiaTheme="minorEastAsia"/>
                <w:lang w:val="tr-TR"/>
              </w:rPr>
            </w:pPr>
          </w:p>
          <w:p w:rsidR="00016A78" w:rsidRPr="00F11342" w:rsidRDefault="00016A78" w:rsidP="00016A78">
            <w:pPr>
              <w:jc w:val="center"/>
              <w:rPr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lang w:val="tr-TR"/>
                  </w:rPr>
                  <m:t>MM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field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1.2</m:t>
                    </m:r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MM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field,no load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MM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armature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tr-T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tr-TR"/>
                          </w:rPr>
                          <m:t>MM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armature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tr-TR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tr-TR"/>
                              </w:rPr>
                              <m:t>θ)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54" w:type="dxa"/>
            <w:vAlign w:val="center"/>
          </w:tcPr>
          <w:p w:rsidR="003720FE" w:rsidRPr="00F11342" w:rsidRDefault="003720FE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6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3720FE" w:rsidRDefault="003720FE" w:rsidP="00926A36">
      <w:pPr>
        <w:rPr>
          <w:lang w:val="tr-TR"/>
        </w:rPr>
      </w:pPr>
    </w:p>
    <w:p w:rsidR="00016A78" w:rsidRDefault="004E7806" w:rsidP="00926A36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total MMF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known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xx.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as 3 A/mm2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as 0.5 since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harsh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environment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width</w:t>
      </w:r>
      <w:proofErr w:type="spellEnd"/>
      <w:r>
        <w:rPr>
          <w:lang w:val="tr-TR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7806" w:rsidTr="004E7806">
        <w:tc>
          <w:tcPr>
            <w:tcW w:w="4698" w:type="dxa"/>
          </w:tcPr>
          <w:p w:rsidR="004E7806" w:rsidRDefault="004E7806" w:rsidP="00926A36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Parameter</w:t>
            </w:r>
            <w:proofErr w:type="spellEnd"/>
          </w:p>
        </w:tc>
        <w:tc>
          <w:tcPr>
            <w:tcW w:w="4698" w:type="dxa"/>
          </w:tcPr>
          <w:p w:rsidR="004E7806" w:rsidRDefault="004E7806" w:rsidP="00926A36">
            <w:pPr>
              <w:rPr>
                <w:lang w:val="tr-TR"/>
              </w:rPr>
            </w:pPr>
            <w:r>
              <w:rPr>
                <w:lang w:val="tr-TR"/>
              </w:rPr>
              <w:t>Value</w:t>
            </w:r>
          </w:p>
        </w:tc>
      </w:tr>
      <w:tr w:rsidR="004E7806" w:rsidTr="004E7806">
        <w:tc>
          <w:tcPr>
            <w:tcW w:w="4698" w:type="dxa"/>
          </w:tcPr>
          <w:p w:rsidR="004E7806" w:rsidRDefault="004E7806" w:rsidP="00926A36">
            <w:pPr>
              <w:rPr>
                <w:lang w:val="tr-TR"/>
              </w:rPr>
            </w:pPr>
            <w:r>
              <w:rPr>
                <w:lang w:val="tr-TR"/>
              </w:rPr>
              <w:t xml:space="preserve">MMF of </w:t>
            </w:r>
            <w:proofErr w:type="spellStart"/>
            <w:r>
              <w:rPr>
                <w:lang w:val="tr-TR"/>
              </w:rPr>
              <w:t>field</w:t>
            </w:r>
            <w:proofErr w:type="spellEnd"/>
          </w:p>
        </w:tc>
        <w:tc>
          <w:tcPr>
            <w:tcW w:w="4698" w:type="dxa"/>
          </w:tcPr>
          <w:p w:rsidR="004E7806" w:rsidRDefault="0008524E" w:rsidP="00926A36">
            <w:pPr>
              <w:rPr>
                <w:lang w:val="tr-TR"/>
              </w:rPr>
            </w:pPr>
            <w:r>
              <w:rPr>
                <w:lang w:val="tr-TR"/>
              </w:rPr>
              <w:t>26500 At</w:t>
            </w:r>
          </w:p>
        </w:tc>
      </w:tr>
      <w:tr w:rsidR="004E7806" w:rsidTr="004E7806">
        <w:tc>
          <w:tcPr>
            <w:tcW w:w="4698" w:type="dxa"/>
          </w:tcPr>
          <w:p w:rsidR="004E7806" w:rsidRDefault="004E7806" w:rsidP="00926A36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Turns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  <w:r>
              <w:rPr>
                <w:lang w:val="tr-TR"/>
              </w:rPr>
              <w:t xml:space="preserve"> of </w:t>
            </w:r>
            <w:proofErr w:type="spellStart"/>
            <w:r>
              <w:rPr>
                <w:lang w:val="tr-TR"/>
              </w:rPr>
              <w:t>field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winding</w:t>
            </w:r>
            <w:proofErr w:type="spellEnd"/>
            <w:r>
              <w:rPr>
                <w:lang w:val="tr-TR"/>
              </w:rPr>
              <w:t xml:space="preserve"> – </w:t>
            </w:r>
            <w:proofErr w:type="spellStart"/>
            <w:r>
              <w:rPr>
                <w:lang w:val="tr-TR"/>
              </w:rPr>
              <w:t>Nf</w:t>
            </w:r>
            <w:proofErr w:type="spellEnd"/>
            <w:r>
              <w:rPr>
                <w:lang w:val="tr-TR"/>
              </w:rPr>
              <w:t xml:space="preserve"> </w:t>
            </w:r>
          </w:p>
        </w:tc>
        <w:tc>
          <w:tcPr>
            <w:tcW w:w="4698" w:type="dxa"/>
          </w:tcPr>
          <w:p w:rsidR="004E7806" w:rsidRDefault="0008524E" w:rsidP="00926A36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</w:tr>
      <w:tr w:rsidR="004E7806" w:rsidTr="004E7806">
        <w:tc>
          <w:tcPr>
            <w:tcW w:w="4698" w:type="dxa"/>
          </w:tcPr>
          <w:p w:rsidR="004E7806" w:rsidRDefault="004E7806" w:rsidP="00926A36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Field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current</w:t>
            </w:r>
            <w:proofErr w:type="spellEnd"/>
            <w:r>
              <w:rPr>
                <w:lang w:val="tr-TR"/>
              </w:rPr>
              <w:t xml:space="preserve"> – </w:t>
            </w:r>
            <w:proofErr w:type="spellStart"/>
            <w:r>
              <w:rPr>
                <w:lang w:val="tr-TR"/>
              </w:rPr>
              <w:t>If</w:t>
            </w:r>
            <w:proofErr w:type="spellEnd"/>
          </w:p>
        </w:tc>
        <w:tc>
          <w:tcPr>
            <w:tcW w:w="4698" w:type="dxa"/>
          </w:tcPr>
          <w:p w:rsidR="004E7806" w:rsidRDefault="0008524E" w:rsidP="00926A36">
            <w:pPr>
              <w:rPr>
                <w:lang w:val="tr-TR"/>
              </w:rPr>
            </w:pPr>
            <w:r>
              <w:rPr>
                <w:lang w:val="tr-TR"/>
              </w:rPr>
              <w:t>2650 A</w:t>
            </w:r>
          </w:p>
        </w:tc>
      </w:tr>
      <w:tr w:rsidR="004E7806" w:rsidTr="004E7806">
        <w:tc>
          <w:tcPr>
            <w:tcW w:w="4698" w:type="dxa"/>
          </w:tcPr>
          <w:p w:rsidR="004E7806" w:rsidRDefault="004E7806" w:rsidP="00926A36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Field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fill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4698" w:type="dxa"/>
          </w:tcPr>
          <w:p w:rsidR="004E7806" w:rsidRDefault="004E7806" w:rsidP="00926A36">
            <w:pPr>
              <w:rPr>
                <w:lang w:val="tr-TR"/>
              </w:rPr>
            </w:pPr>
            <w:r>
              <w:rPr>
                <w:lang w:val="tr-TR"/>
              </w:rPr>
              <w:t>0.5</w:t>
            </w:r>
          </w:p>
        </w:tc>
      </w:tr>
      <w:tr w:rsidR="00417D33" w:rsidTr="004E7806">
        <w:tc>
          <w:tcPr>
            <w:tcW w:w="4698" w:type="dxa"/>
          </w:tcPr>
          <w:p w:rsidR="00417D33" w:rsidRDefault="00417D33" w:rsidP="00926A36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Field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slot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area</w:t>
            </w:r>
            <w:proofErr w:type="spellEnd"/>
          </w:p>
        </w:tc>
        <w:tc>
          <w:tcPr>
            <w:tcW w:w="4698" w:type="dxa"/>
          </w:tcPr>
          <w:p w:rsidR="00417D33" w:rsidRDefault="00417D33" w:rsidP="00926A36">
            <w:pPr>
              <w:rPr>
                <w:lang w:val="tr-TR"/>
              </w:rPr>
            </w:pPr>
            <w:r>
              <w:rPr>
                <w:lang w:val="tr-TR"/>
              </w:rPr>
              <w:t>8800 mm2</w:t>
            </w:r>
            <w:bookmarkStart w:id="0" w:name="_GoBack"/>
            <w:bookmarkEnd w:id="0"/>
          </w:p>
        </w:tc>
      </w:tr>
    </w:tbl>
    <w:p w:rsidR="004E7806" w:rsidRDefault="004E7806" w:rsidP="00926A36">
      <w:pPr>
        <w:rPr>
          <w:lang w:val="tr-TR"/>
        </w:rPr>
      </w:pPr>
    </w:p>
    <w:p w:rsidR="004E7806" w:rsidRDefault="004E7806" w:rsidP="00926A36">
      <w:pPr>
        <w:rPr>
          <w:lang w:val="tr-TR"/>
        </w:rPr>
      </w:pPr>
    </w:p>
    <w:sectPr w:rsidR="004E78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90"/>
    <w:rsid w:val="00016053"/>
    <w:rsid w:val="00016A78"/>
    <w:rsid w:val="000323E7"/>
    <w:rsid w:val="0008524E"/>
    <w:rsid w:val="001147F8"/>
    <w:rsid w:val="001C4978"/>
    <w:rsid w:val="0021563E"/>
    <w:rsid w:val="00224FA8"/>
    <w:rsid w:val="002738D9"/>
    <w:rsid w:val="002876F8"/>
    <w:rsid w:val="002B18D4"/>
    <w:rsid w:val="002D4E97"/>
    <w:rsid w:val="002D6693"/>
    <w:rsid w:val="002E73CC"/>
    <w:rsid w:val="003720FE"/>
    <w:rsid w:val="00374B94"/>
    <w:rsid w:val="003A4AC2"/>
    <w:rsid w:val="003B6CE3"/>
    <w:rsid w:val="00415809"/>
    <w:rsid w:val="00417D33"/>
    <w:rsid w:val="00470AC5"/>
    <w:rsid w:val="004E7806"/>
    <w:rsid w:val="005141D5"/>
    <w:rsid w:val="00586A29"/>
    <w:rsid w:val="005A4C53"/>
    <w:rsid w:val="005E7190"/>
    <w:rsid w:val="006E21B7"/>
    <w:rsid w:val="00752B01"/>
    <w:rsid w:val="00760828"/>
    <w:rsid w:val="00762DC2"/>
    <w:rsid w:val="0078718A"/>
    <w:rsid w:val="008036C4"/>
    <w:rsid w:val="00846AB7"/>
    <w:rsid w:val="0088338D"/>
    <w:rsid w:val="008D3812"/>
    <w:rsid w:val="00904206"/>
    <w:rsid w:val="00926A36"/>
    <w:rsid w:val="00966B62"/>
    <w:rsid w:val="009A198E"/>
    <w:rsid w:val="009C6952"/>
    <w:rsid w:val="009D388A"/>
    <w:rsid w:val="009D7016"/>
    <w:rsid w:val="00A048DA"/>
    <w:rsid w:val="00A22F73"/>
    <w:rsid w:val="00A27DCF"/>
    <w:rsid w:val="00A43BFB"/>
    <w:rsid w:val="00A519E2"/>
    <w:rsid w:val="00A65BA8"/>
    <w:rsid w:val="00A77307"/>
    <w:rsid w:val="00A91477"/>
    <w:rsid w:val="00AB2726"/>
    <w:rsid w:val="00B13C48"/>
    <w:rsid w:val="00B25370"/>
    <w:rsid w:val="00BF753C"/>
    <w:rsid w:val="00CF4103"/>
    <w:rsid w:val="00D21E2B"/>
    <w:rsid w:val="00D76FB7"/>
    <w:rsid w:val="00D844A0"/>
    <w:rsid w:val="00E92D0E"/>
    <w:rsid w:val="00EE1DD4"/>
    <w:rsid w:val="00F235F4"/>
    <w:rsid w:val="00F65B70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8A60"/>
  <w15:chartTrackingRefBased/>
  <w15:docId w15:val="{6FBDCCB5-EB50-473B-AF1A-AC2434E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1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3A4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43</cp:revision>
  <dcterms:created xsi:type="dcterms:W3CDTF">2022-07-07T17:50:00Z</dcterms:created>
  <dcterms:modified xsi:type="dcterms:W3CDTF">2022-07-08T00:51:00Z</dcterms:modified>
</cp:coreProperties>
</file>