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620865CF" w:rsidR="0028165E" w:rsidRPr="008272CD" w:rsidRDefault="00393DB2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93DB2">
        <w:rPr>
          <w:rFonts w:ascii="Proxima Nova" w:hAnsi="Proxima Nova" w:cs="Arial"/>
          <w:kern w:val="2"/>
          <w:sz w:val="22"/>
          <w:szCs w:val="22"/>
        </w:rPr>
        <w:t>NIH BRAIN Initiative K99 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76724F7C" w:rsidR="006F1E52" w:rsidRPr="00CE0E45" w:rsidRDefault="006F1E52" w:rsidP="00361F3B">
      <w:pPr>
        <w:snapToGrid w:val="0"/>
        <w:spacing w:before="120" w:line="240" w:lineRule="exact"/>
        <w:ind w:right="-3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="0086563A"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</w:t>
      </w:r>
      <w:r w:rsidR="00A02E11">
        <w:rPr>
          <w:rFonts w:ascii="Proxima Nova" w:hAnsi="Proxima Nova" w:cs="Arial"/>
          <w:kern w:val="2"/>
          <w:sz w:val="22"/>
          <w:szCs w:val="22"/>
        </w:rPr>
        <w:t xml:space="preserve">Hoag AT,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72710132" w:rsidR="0093643F" w:rsidRPr="00361F3B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  <w:r w:rsidR="00361F3B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361F3B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Neuron</w:t>
      </w:r>
      <w:r w:rsidR="00361F3B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E04A94">
        <w:rPr>
          <w:rFonts w:ascii="Proxima Nova" w:hAnsi="Proxima Nova" w:cs="Arial"/>
          <w:kern w:val="2"/>
          <w:sz w:val="22"/>
          <w:szCs w:val="22"/>
        </w:rPr>
        <w:t>in press</w:t>
      </w:r>
      <w:r w:rsidR="00361F3B">
        <w:rPr>
          <w:rFonts w:ascii="Proxima Nova" w:hAnsi="Proxima Nova" w:cs="Arial"/>
          <w:kern w:val="2"/>
          <w:sz w:val="22"/>
          <w:szCs w:val="22"/>
        </w:rPr>
        <w:t>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A3583A8" w14:textId="0E5A4F3B" w:rsidR="00F760EC" w:rsidRPr="008272CD" w:rsidRDefault="00D2445F" w:rsidP="00F760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 w:rsidR="00F760EC">
        <w:rPr>
          <w:rFonts w:ascii="Proxima Nova" w:hAnsi="Proxima Nova" w:cs="Arial"/>
          <w:kern w:val="2"/>
          <w:sz w:val="22"/>
          <w:szCs w:val="22"/>
        </w:rPr>
        <w:t>. London, UK.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F760EC">
        <w:rPr>
          <w:rFonts w:ascii="Proxima Nova" w:hAnsi="Proxima Nova" w:cs="Arial"/>
          <w:kern w:val="2"/>
          <w:sz w:val="22"/>
          <w:szCs w:val="22"/>
        </w:rPr>
        <w:t>Mar 2025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B58F69D" w14:textId="04571DDC" w:rsidR="00F04421" w:rsidRDefault="00F04421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Mt Sinai Department of Neuroscience. New York, NY. Dec 2024.</w:t>
      </w:r>
    </w:p>
    <w:p w14:paraId="6D5F3323" w14:textId="79E18284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37B6BF51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9DBC7EA" w14:textId="2BFB3B76" w:rsidR="00C3290B" w:rsidRDefault="00C3290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>
        <w:rPr>
          <w:rFonts w:ascii="Proxima Nova" w:hAnsi="Proxima Nova" w:cs="Arial"/>
          <w:kern w:val="2"/>
          <w:sz w:val="22"/>
          <w:szCs w:val="22"/>
        </w:rPr>
        <w:t>,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20" w:history="1">
        <w:r w:rsidRPr="00C3290B">
          <w:rPr>
            <w:rStyle w:val="Hyperlink"/>
            <w:rFonts w:ascii="Proxima Nova" w:hAnsi="Proxima Nova" w:cs="Arial"/>
            <w:kern w:val="2"/>
            <w:szCs w:val="22"/>
          </w:rPr>
          <w:t>Emerging Neuroscientists 2024/25 winners announced</w:t>
        </w:r>
      </w:hyperlink>
      <w:r>
        <w:rPr>
          <w:rFonts w:ascii="Proxima Nova" w:hAnsi="Proxima Nova" w:cs="Arial"/>
          <w:kern w:val="2"/>
          <w:sz w:val="22"/>
          <w:szCs w:val="22"/>
        </w:rPr>
        <w:t>. Sep 2024.</w:t>
      </w:r>
    </w:p>
    <w:p w14:paraId="1BDED634" w14:textId="4A6CC55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2"/>
      <w:footerReference w:type="default" r:id="rId43"/>
      <w:footerReference w:type="first" r:id="rId44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83F4" w14:textId="77777777" w:rsidR="00264519" w:rsidRDefault="00264519" w:rsidP="002638F7">
      <w:r>
        <w:separator/>
      </w:r>
    </w:p>
  </w:endnote>
  <w:endnote w:type="continuationSeparator" w:id="0">
    <w:p w14:paraId="13174445" w14:textId="77777777" w:rsidR="00264519" w:rsidRDefault="00264519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1480" w14:textId="77777777" w:rsidR="00264519" w:rsidRDefault="00264519" w:rsidP="002638F7">
      <w:r>
        <w:separator/>
      </w:r>
    </w:p>
  </w:footnote>
  <w:footnote w:type="continuationSeparator" w:id="0">
    <w:p w14:paraId="7C2D943E" w14:textId="77777777" w:rsidR="00264519" w:rsidRDefault="00264519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0EC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519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61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C98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1F3B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CC2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43E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11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0D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1ED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90B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1C1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6D0A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A94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421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A7D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www.inverse.com/mind-body/origin-of-thirst-in-the-brain" TargetMode="External"/><Relationship Id="rId39" Type="http://schemas.openxmlformats.org/officeDocument/2006/relationships/hyperlink" Target="https://www.statnews.com/2016/08/03/thirst-brain-neuron" TargetMode="External"/><Relationship Id="rId21" Type="http://schemas.openxmlformats.org/officeDocument/2006/relationships/hyperlink" Target="https://www.thetransmitter.org/learning/it-must-be-something-i-ate-is-hard-wired-into-the-brain" TargetMode="External"/><Relationship Id="rId34" Type="http://schemas.openxmlformats.org/officeDocument/2006/relationships/hyperlink" Target="https://www.hhmi.org/news/thirst-controlled-by-signal-from-the-gut" TargetMode="External"/><Relationship Id="rId42" Type="http://schemas.openxmlformats.org/officeDocument/2006/relationships/header" Target="head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fredhutch.org/en/news/releases/2020/03/fred-hutch-announces-2020-harold-weintraub-graduate-student-award-recipents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2" Type="http://schemas.openxmlformats.org/officeDocument/2006/relationships/hyperlink" Target="https://www.youtube.com/watch?v=9DFYgYN6Vxc" TargetMode="External"/><Relationship Id="rId37" Type="http://schemas.openxmlformats.org/officeDocument/2006/relationships/hyperlink" Target="https://www.nature.com/articles/537626a/fulltext" TargetMode="External"/><Relationship Id="rId40" Type="http://schemas.openxmlformats.org/officeDocument/2006/relationships/hyperlink" Target="https://www.bbc.com/news/science-environment-36966275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cientificamerican.com/article/your-body-has-a-clever-way-to-detect-how-much-water-you-should-drink-every-day" TargetMode="External"/><Relationship Id="rId28" Type="http://schemas.openxmlformats.org/officeDocument/2006/relationships/hyperlink" Target="https://www.aaas.org/news/real-time-signals-body-brain-help-regulate-sensation-thirst" TargetMode="External"/><Relationship Id="rId36" Type="http://schemas.openxmlformats.org/officeDocument/2006/relationships/hyperlink" Target="https://www.cell.com/cell/fulltext/S0092-8674(16)31453-2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nhlbi.nih.gov/news/2019/your-gut-controls-your-thirst-and-keeps-your-brain-informed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youtube.com/watch?v=Tb7fLVhdpNc&amp;t=4739s" TargetMode="External"/><Relationship Id="rId27" Type="http://schemas.openxmlformats.org/officeDocument/2006/relationships/hyperlink" Target="https://corporate.eppendorf.com/en/press-releases/08102020-research-on-thirst-wins-2020-eppendorf-science-prize" TargetMode="External"/><Relationship Id="rId30" Type="http://schemas.openxmlformats.org/officeDocument/2006/relationships/hyperlink" Target="https://www.nature.com/articles/s41575-019-0147-5/fulltext" TargetMode="External"/><Relationship Id="rId35" Type="http://schemas.openxmlformats.org/officeDocument/2006/relationships/hyperlink" Target="https://www.ucsf.edu/news/2019/03/413736/had-enough-water-brains-thirst-centers-make-gut-check" TargetMode="External"/><Relationship Id="rId43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thenakedscientists.com/articles/interviews/how-does-thirst-work-brain" TargetMode="External"/><Relationship Id="rId33" Type="http://schemas.openxmlformats.org/officeDocument/2006/relationships/hyperlink" Target="https://www.npr.org/sections/thesalt/2019/03/27/707289059/blech-brain-science-explains-why-youre-not-thirsty-for-salt-water" TargetMode="External"/><Relationship Id="rId38" Type="http://schemas.openxmlformats.org/officeDocument/2006/relationships/hyperlink" Target="https://www.nature.com/articles/nature1895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sainsburywellcome.org/web/seminar/swc-emerging-neuroscientists-seminar-series-202425-winners-announced" TargetMode="External"/><Relationship Id="rId41" Type="http://schemas.openxmlformats.org/officeDocument/2006/relationships/hyperlink" Target="https://www.ucsf.edu/news/2016/08/403776/new-understanding-thirst-emerges-brain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5</cp:revision>
  <cp:lastPrinted>2024-10-01T19:01:00Z</cp:lastPrinted>
  <dcterms:created xsi:type="dcterms:W3CDTF">2024-10-01T19:01:00Z</dcterms:created>
  <dcterms:modified xsi:type="dcterms:W3CDTF">2024-10-04T23:17:00Z</dcterms:modified>
  <cp:category/>
</cp:coreProperties>
</file>