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706CD" w14:textId="2AB380AA" w:rsidR="00CF069E" w:rsidRPr="00CF069E" w:rsidRDefault="00101F9F" w:rsidP="00CF069E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Using Graph Statistics to Investigate the Properties of Six </w:t>
      </w:r>
      <w:r w:rsidR="006067F5">
        <w:rPr>
          <w:rFonts w:ascii="Arial" w:hAnsi="Arial" w:cs="Arial"/>
          <w:b/>
          <w:bCs/>
          <w:color w:val="000000"/>
          <w:sz w:val="22"/>
          <w:szCs w:val="22"/>
        </w:rPr>
        <w:t xml:space="preserve">Candidate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Gene Regulatory Networks </w:t>
      </w:r>
      <w:r w:rsidR="006067F5">
        <w:rPr>
          <w:rFonts w:ascii="Arial" w:hAnsi="Arial" w:cs="Arial"/>
          <w:b/>
          <w:bCs/>
          <w:color w:val="000000"/>
          <w:sz w:val="22"/>
          <w:szCs w:val="22"/>
        </w:rPr>
        <w:t xml:space="preserve">for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Control</w:t>
      </w:r>
      <w:r w:rsidR="006067F5">
        <w:rPr>
          <w:rFonts w:ascii="Arial" w:hAnsi="Arial" w:cs="Arial"/>
          <w:b/>
          <w:bCs/>
          <w:color w:val="000000"/>
          <w:sz w:val="22"/>
          <w:szCs w:val="22"/>
        </w:rPr>
        <w:t>ling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4C2E10">
        <w:rPr>
          <w:rFonts w:ascii="Arial" w:hAnsi="Arial" w:cs="Arial"/>
          <w:b/>
          <w:bCs/>
          <w:color w:val="000000"/>
          <w:sz w:val="22"/>
          <w:szCs w:val="22"/>
        </w:rPr>
        <w:t xml:space="preserve">the Cold Shock Response in </w:t>
      </w:r>
      <w:r w:rsidR="00CF069E" w:rsidRPr="006067F5">
        <w:rPr>
          <w:rFonts w:ascii="Arial" w:hAnsi="Arial" w:cs="Arial"/>
          <w:b/>
          <w:bCs/>
          <w:i/>
          <w:color w:val="000000"/>
          <w:sz w:val="22"/>
          <w:szCs w:val="22"/>
        </w:rPr>
        <w:t>Saccharomyces cerevisiae</w:t>
      </w:r>
      <w:r w:rsidR="00F7566F" w:rsidRPr="006067F5">
        <w:rPr>
          <w:rFonts w:ascii="Arial" w:hAnsi="Arial" w:cs="Arial"/>
          <w:b/>
          <w:bCs/>
          <w:i/>
          <w:color w:val="000000"/>
          <w:sz w:val="22"/>
          <w:szCs w:val="22"/>
        </w:rPr>
        <w:t xml:space="preserve"> </w:t>
      </w:r>
    </w:p>
    <w:p w14:paraId="0C9CBD05" w14:textId="449AA434" w:rsidR="00DC3832" w:rsidRDefault="00CF069E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Cs/>
          <w:iCs/>
          <w:color w:val="000000"/>
          <w:sz w:val="22"/>
          <w:szCs w:val="22"/>
        </w:rPr>
      </w:pPr>
      <w:r>
        <w:rPr>
          <w:rFonts w:ascii="Arial" w:hAnsi="Arial" w:cs="Arial"/>
          <w:bCs/>
          <w:iCs/>
          <w:color w:val="000000"/>
          <w:sz w:val="22"/>
          <w:szCs w:val="22"/>
        </w:rPr>
        <w:t>Margaret J. ONeil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>, Ben G. Fitzpatrick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>, Kam D. Dahlquist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</w:p>
    <w:p w14:paraId="740C146C" w14:textId="77777777" w:rsidR="00DC3832" w:rsidRP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Department of Biology, 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bCs/>
          <w:iCs/>
          <w:color w:val="000000"/>
          <w:sz w:val="22"/>
          <w:szCs w:val="22"/>
        </w:rPr>
        <w:t>Department of Mathematics, Loyola Marymount University, 1 LMU Drive, Los Angeles, CA 90045</w:t>
      </w:r>
    </w:p>
    <w:p w14:paraId="6E61B02D" w14:textId="77E33773" w:rsidR="003D6ED0" w:rsidRDefault="00122C36" w:rsidP="003D6ED0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color w:val="000000"/>
          <w:sz w:val="22"/>
          <w:szCs w:val="22"/>
        </w:rPr>
        <w:t xml:space="preserve">A gene regulatory network (GRN) is a set of transcription factors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which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regulate the level of expression of genes encoding other transcription factors. The dynamics of a GRN show how gene expression i</w:t>
      </w:r>
      <w:r w:rsidR="00101F9F">
        <w:rPr>
          <w:rFonts w:ascii="Arial" w:hAnsi="Arial" w:cs="Arial"/>
          <w:color w:val="000000"/>
          <w:sz w:val="22"/>
          <w:szCs w:val="22"/>
        </w:rPr>
        <w:t>n the network changes over time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Microarray d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ata were obtained from </w:t>
      </w:r>
      <w:r w:rsidR="00101F9F" w:rsidRPr="00101F9F">
        <w:rPr>
          <w:rFonts w:ascii="Arial" w:hAnsi="Arial" w:cs="Arial"/>
          <w:color w:val="000000"/>
          <w:sz w:val="22"/>
          <w:szCs w:val="22"/>
        </w:rPr>
        <w:t>the wild type strain and five transcription factor deletion strains (</w:t>
      </w:r>
      <w:r w:rsidR="00101F9F" w:rsidRPr="006067F5">
        <w:rPr>
          <w:rFonts w:ascii="Arial" w:hAnsi="Arial" w:cs="Arial"/>
          <w:i/>
          <w:color w:val="000000"/>
          <w:sz w:val="22"/>
          <w:szCs w:val="22"/>
        </w:rPr>
        <w:t>Δcin5</w:t>
      </w:r>
      <w:r w:rsidR="00101F9F" w:rsidRPr="00101F9F">
        <w:rPr>
          <w:rFonts w:ascii="Arial" w:hAnsi="Arial" w:cs="Arial"/>
          <w:color w:val="000000"/>
          <w:sz w:val="22"/>
          <w:szCs w:val="22"/>
        </w:rPr>
        <w:t xml:space="preserve">, </w:t>
      </w:r>
      <w:r w:rsidR="00101F9F" w:rsidRPr="006067F5">
        <w:rPr>
          <w:rFonts w:ascii="Arial" w:hAnsi="Arial" w:cs="Arial"/>
          <w:i/>
          <w:color w:val="000000"/>
          <w:sz w:val="22"/>
          <w:szCs w:val="22"/>
        </w:rPr>
        <w:t>Δgln3</w:t>
      </w:r>
      <w:r w:rsidR="00101F9F" w:rsidRPr="00101F9F">
        <w:rPr>
          <w:rFonts w:ascii="Arial" w:hAnsi="Arial" w:cs="Arial"/>
          <w:color w:val="000000"/>
          <w:sz w:val="22"/>
          <w:szCs w:val="22"/>
        </w:rPr>
        <w:t xml:space="preserve">, </w:t>
      </w:r>
      <w:r w:rsidR="00101F9F" w:rsidRPr="006067F5">
        <w:rPr>
          <w:rFonts w:ascii="Arial" w:hAnsi="Arial" w:cs="Arial"/>
          <w:i/>
          <w:color w:val="000000"/>
          <w:sz w:val="22"/>
          <w:szCs w:val="22"/>
        </w:rPr>
        <w:t>Δhap4</w:t>
      </w:r>
      <w:r w:rsidR="00101F9F" w:rsidRPr="00101F9F">
        <w:rPr>
          <w:rFonts w:ascii="Arial" w:hAnsi="Arial" w:cs="Arial"/>
          <w:color w:val="000000"/>
          <w:sz w:val="22"/>
          <w:szCs w:val="22"/>
        </w:rPr>
        <w:t xml:space="preserve">, </w:t>
      </w:r>
      <w:r w:rsidR="00101F9F" w:rsidRPr="006067F5">
        <w:rPr>
          <w:rFonts w:ascii="Arial" w:hAnsi="Arial" w:cs="Arial"/>
          <w:i/>
          <w:color w:val="000000"/>
          <w:sz w:val="22"/>
          <w:szCs w:val="22"/>
        </w:rPr>
        <w:t>Δhmo1</w:t>
      </w:r>
      <w:r w:rsidR="00101F9F" w:rsidRPr="00101F9F">
        <w:rPr>
          <w:rFonts w:ascii="Arial" w:hAnsi="Arial" w:cs="Arial"/>
          <w:color w:val="000000"/>
          <w:sz w:val="22"/>
          <w:szCs w:val="22"/>
        </w:rPr>
        <w:t xml:space="preserve">, </w:t>
      </w:r>
      <w:r w:rsidR="00101F9F" w:rsidRPr="006067F5">
        <w:rPr>
          <w:rFonts w:ascii="Arial" w:hAnsi="Arial" w:cs="Arial"/>
          <w:i/>
          <w:color w:val="000000"/>
          <w:sz w:val="22"/>
          <w:szCs w:val="22"/>
        </w:rPr>
        <w:t>Δzap1</w:t>
      </w:r>
      <w:r w:rsidR="00101F9F" w:rsidRPr="00101F9F">
        <w:rPr>
          <w:rFonts w:ascii="Arial" w:hAnsi="Arial" w:cs="Arial"/>
          <w:color w:val="000000"/>
          <w:sz w:val="22"/>
          <w:szCs w:val="22"/>
        </w:rPr>
        <w:t>) before cold shock at 30°C and after 15, 30, and 6</w:t>
      </w:r>
      <w:r w:rsidR="00101F9F">
        <w:rPr>
          <w:rFonts w:ascii="Arial" w:hAnsi="Arial" w:cs="Arial"/>
          <w:color w:val="000000"/>
          <w:sz w:val="22"/>
          <w:szCs w:val="22"/>
        </w:rPr>
        <w:t>0 minutes of cold shock at 13°C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. A modified ANOVA showed that </w:t>
      </w:r>
      <w:r w:rsidR="00091029">
        <w:rPr>
          <w:rFonts w:ascii="Arial" w:hAnsi="Arial" w:cs="Arial"/>
          <w:color w:val="000000"/>
          <w:sz w:val="22"/>
          <w:szCs w:val="22"/>
        </w:rPr>
        <w:t>for all networks a large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 number of </w:t>
      </w:r>
      <w:r w:rsidRPr="00DC3832">
        <w:rPr>
          <w:rFonts w:ascii="Arial" w:hAnsi="Arial" w:cs="Arial"/>
          <w:color w:val="000000"/>
          <w:sz w:val="22"/>
          <w:szCs w:val="22"/>
        </w:rPr>
        <w:t>genes had a log</w:t>
      </w:r>
      <w:r w:rsidRPr="006067F5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555881">
        <w:t> 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fold change significantly different than zero at any time point. These genes were submitted to the YEASTRACT database to determine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which transcription factors regulated them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r w:rsidR="00091029">
        <w:rPr>
          <w:rFonts w:ascii="Arial" w:hAnsi="Arial" w:cs="Arial"/>
          <w:color w:val="000000"/>
          <w:sz w:val="22"/>
          <w:szCs w:val="22"/>
        </w:rPr>
        <w:t xml:space="preserve">Data from each strain were used to generate </w:t>
      </w:r>
      <w:r w:rsidR="00B1001A">
        <w:rPr>
          <w:rFonts w:ascii="Arial" w:hAnsi="Arial" w:cs="Arial"/>
          <w:color w:val="000000"/>
          <w:sz w:val="22"/>
          <w:szCs w:val="22"/>
        </w:rPr>
        <w:t xml:space="preserve">six </w:t>
      </w:r>
      <w:r w:rsidR="00091029">
        <w:rPr>
          <w:rFonts w:ascii="Arial" w:hAnsi="Arial" w:cs="Arial"/>
          <w:color w:val="000000"/>
          <w:sz w:val="22"/>
          <w:szCs w:val="22"/>
        </w:rPr>
        <w:t>c</w:t>
      </w:r>
      <w:r w:rsidRPr="00DC3832">
        <w:rPr>
          <w:rFonts w:ascii="Arial" w:hAnsi="Arial" w:cs="Arial"/>
          <w:color w:val="000000"/>
          <w:sz w:val="22"/>
          <w:szCs w:val="22"/>
        </w:rPr>
        <w:t>andidate GRN</w:t>
      </w:r>
      <w:r w:rsidR="00091029">
        <w:rPr>
          <w:rFonts w:ascii="Arial" w:hAnsi="Arial" w:cs="Arial"/>
          <w:color w:val="000000"/>
          <w:sz w:val="22"/>
          <w:szCs w:val="22"/>
        </w:rPr>
        <w:t>’s of between 14</w:t>
      </w:r>
      <w:r w:rsidR="00B1001A">
        <w:rPr>
          <w:rFonts w:ascii="Arial" w:hAnsi="Arial" w:cs="Arial"/>
          <w:color w:val="000000"/>
          <w:sz w:val="22"/>
          <w:szCs w:val="22"/>
        </w:rPr>
        <w:t xml:space="preserve"> to </w:t>
      </w:r>
      <w:r w:rsidR="00091029">
        <w:rPr>
          <w:rFonts w:ascii="Arial" w:hAnsi="Arial" w:cs="Arial"/>
          <w:color w:val="000000"/>
          <w:sz w:val="22"/>
          <w:szCs w:val="22"/>
        </w:rPr>
        <w:t xml:space="preserve">17 nodes </w:t>
      </w:r>
      <w:r w:rsidR="00101F9F">
        <w:rPr>
          <w:rFonts w:ascii="Arial" w:hAnsi="Arial" w:cs="Arial"/>
          <w:color w:val="000000"/>
          <w:sz w:val="22"/>
          <w:szCs w:val="22"/>
        </w:rPr>
        <w:t>and 25</w:t>
      </w:r>
      <w:r w:rsidR="00B1001A">
        <w:rPr>
          <w:rFonts w:ascii="Arial" w:hAnsi="Arial" w:cs="Arial"/>
          <w:color w:val="000000"/>
          <w:sz w:val="22"/>
          <w:szCs w:val="22"/>
        </w:rPr>
        <w:t xml:space="preserve"> to </w:t>
      </w:r>
      <w:r w:rsidR="00101F9F">
        <w:rPr>
          <w:rFonts w:ascii="Arial" w:hAnsi="Arial" w:cs="Arial"/>
          <w:color w:val="000000"/>
          <w:sz w:val="22"/>
          <w:szCs w:val="22"/>
        </w:rPr>
        <w:t>36 edges</w:t>
      </w:r>
      <w:r w:rsidR="00091029">
        <w:rPr>
          <w:rFonts w:ascii="Arial" w:hAnsi="Arial" w:cs="Arial"/>
          <w:color w:val="000000"/>
          <w:sz w:val="22"/>
          <w:szCs w:val="22"/>
        </w:rPr>
        <w:t>,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 depending on the specific network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r w:rsidR="003D6ED0">
        <w:rPr>
          <w:rFonts w:ascii="Arial" w:hAnsi="Arial" w:cs="Arial"/>
          <w:color w:val="000000"/>
          <w:sz w:val="22"/>
          <w:szCs w:val="22"/>
        </w:rPr>
        <w:t xml:space="preserve">The open source software Gephi was used to analyze graph properties of each network. In particular, we computed in- and out-degree, betweenness centrality, eccentricity and closeness centrality. These centrality measures indicate which nodes are most easily accessed in each network, how central a node is in a network, and which nodes most frequently appear in the shortest paths of a network. </w:t>
      </w:r>
      <w:r w:rsidR="0015439A">
        <w:rPr>
          <w:rFonts w:ascii="Arial" w:hAnsi="Arial" w:cs="Arial"/>
          <w:color w:val="000000"/>
          <w:sz w:val="22"/>
          <w:szCs w:val="22"/>
        </w:rPr>
        <w:t xml:space="preserve"> </w:t>
      </w:r>
      <w:r w:rsidR="003D6ED0" w:rsidRPr="00555881">
        <w:rPr>
          <w:rFonts w:ascii="Arial" w:hAnsi="Arial" w:cs="Arial"/>
          <w:color w:val="000000"/>
          <w:sz w:val="22"/>
          <w:szCs w:val="22"/>
        </w:rPr>
        <w:t>From this analysis we have gained insight into role</w:t>
      </w:r>
      <w:r w:rsidR="003D6ED0">
        <w:rPr>
          <w:rFonts w:ascii="Arial" w:hAnsi="Arial" w:cs="Arial"/>
          <w:color w:val="000000"/>
          <w:sz w:val="22"/>
          <w:szCs w:val="22"/>
        </w:rPr>
        <w:t xml:space="preserve"> of different transcription factors</w:t>
      </w:r>
      <w:r w:rsidR="003D6ED0">
        <w:rPr>
          <w:rFonts w:ascii="Arial" w:hAnsi="Arial" w:cs="Arial"/>
          <w:color w:val="000000"/>
          <w:sz w:val="22"/>
          <w:szCs w:val="22"/>
        </w:rPr>
        <w:t xml:space="preserve">. In particular, the high centralities of Cin5, Yhp1, and Hmo1 provide additional evidence of their potential importance </w:t>
      </w:r>
      <w:r w:rsidR="003D6ED0" w:rsidRPr="00555881">
        <w:rPr>
          <w:rFonts w:ascii="Arial" w:hAnsi="Arial" w:cs="Arial"/>
          <w:color w:val="000000"/>
          <w:sz w:val="22"/>
          <w:szCs w:val="22"/>
        </w:rPr>
        <w:t>in the gene regulatory network that controls the cold shock response in yeast</w:t>
      </w:r>
      <w:r w:rsidR="003D6ED0">
        <w:rPr>
          <w:rFonts w:ascii="Arial" w:hAnsi="Arial" w:cs="Arial"/>
          <w:color w:val="000000"/>
          <w:sz w:val="22"/>
          <w:szCs w:val="22"/>
        </w:rPr>
        <w:t xml:space="preserve">.  </w:t>
      </w:r>
    </w:p>
    <w:p w14:paraId="45270381" w14:textId="2B336976" w:rsidR="00555881" w:rsidRDefault="00555881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</w:p>
    <w:p w14:paraId="409B94A3" w14:textId="5D191FAF" w:rsidR="00101F9F" w:rsidRDefault="00555881" w:rsidP="00101F9F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Required word count: 250</w:t>
      </w:r>
      <w:r>
        <w:rPr>
          <w:rFonts w:ascii="Arial" w:hAnsi="Arial" w:cs="Arial"/>
          <w:color w:val="000000"/>
          <w:sz w:val="22"/>
          <w:szCs w:val="22"/>
        </w:rPr>
        <w:tab/>
        <w:t>Actual Word Count: 2</w:t>
      </w:r>
      <w:r w:rsidR="007153D9">
        <w:rPr>
          <w:rFonts w:ascii="Arial" w:hAnsi="Arial" w:cs="Arial"/>
          <w:color w:val="000000"/>
          <w:sz w:val="22"/>
          <w:szCs w:val="22"/>
        </w:rPr>
        <w:t>4</w:t>
      </w:r>
      <w:r w:rsidR="003D6ED0">
        <w:rPr>
          <w:rFonts w:ascii="Arial" w:hAnsi="Arial" w:cs="Arial"/>
          <w:color w:val="000000"/>
          <w:sz w:val="22"/>
          <w:szCs w:val="22"/>
        </w:rPr>
        <w:t>7</w:t>
      </w:r>
      <w:bookmarkStart w:id="0" w:name="_GoBack"/>
      <w:bookmarkEnd w:id="0"/>
    </w:p>
    <w:p w14:paraId="23834CF2" w14:textId="77777777" w:rsidR="00101F9F" w:rsidRPr="00DC3832" w:rsidRDefault="00101F9F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</w:p>
    <w:sectPr w:rsidR="00101F9F" w:rsidRPr="00DC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9316D"/>
    <w:multiLevelType w:val="hybridMultilevel"/>
    <w:tmpl w:val="9C7E3DB8"/>
    <w:lvl w:ilvl="0" w:tplc="0E2AA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76C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AEB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C7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44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62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EC4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E9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902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36"/>
    <w:rsid w:val="00091029"/>
    <w:rsid w:val="00092AF1"/>
    <w:rsid w:val="000D3886"/>
    <w:rsid w:val="00101F9F"/>
    <w:rsid w:val="00122C36"/>
    <w:rsid w:val="0015439A"/>
    <w:rsid w:val="00180100"/>
    <w:rsid w:val="001F12F4"/>
    <w:rsid w:val="00210995"/>
    <w:rsid w:val="00256C1A"/>
    <w:rsid w:val="00277646"/>
    <w:rsid w:val="002F155B"/>
    <w:rsid w:val="002F155E"/>
    <w:rsid w:val="00316F5D"/>
    <w:rsid w:val="00343963"/>
    <w:rsid w:val="00362443"/>
    <w:rsid w:val="003D6ED0"/>
    <w:rsid w:val="0041179E"/>
    <w:rsid w:val="004C2E10"/>
    <w:rsid w:val="00555881"/>
    <w:rsid w:val="00570A6B"/>
    <w:rsid w:val="006067F5"/>
    <w:rsid w:val="0068763B"/>
    <w:rsid w:val="007153D9"/>
    <w:rsid w:val="00751F25"/>
    <w:rsid w:val="008C0B97"/>
    <w:rsid w:val="008D296A"/>
    <w:rsid w:val="009211E0"/>
    <w:rsid w:val="00AB04FB"/>
    <w:rsid w:val="00B1001A"/>
    <w:rsid w:val="00C113F0"/>
    <w:rsid w:val="00C43E52"/>
    <w:rsid w:val="00CF069E"/>
    <w:rsid w:val="00CF6370"/>
    <w:rsid w:val="00DC3832"/>
    <w:rsid w:val="00F563A1"/>
    <w:rsid w:val="00F7566F"/>
    <w:rsid w:val="00FB137E"/>
    <w:rsid w:val="00F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C7A913"/>
  <w15:docId w15:val="{4D6F1D00-B9B3-4BDF-B170-777145F6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C36"/>
  </w:style>
  <w:style w:type="character" w:styleId="Emphasis">
    <w:name w:val="Emphasis"/>
    <w:basedOn w:val="DefaultParagraphFont"/>
    <w:uiPriority w:val="20"/>
    <w:qFormat/>
    <w:rsid w:val="00CF06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7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LMU-ITS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Horstmann, Kristen</dc:creator>
  <cp:lastModifiedBy>Dahlquist, Kam D.</cp:lastModifiedBy>
  <cp:revision>5</cp:revision>
  <dcterms:created xsi:type="dcterms:W3CDTF">2017-02-10T01:32:00Z</dcterms:created>
  <dcterms:modified xsi:type="dcterms:W3CDTF">2017-02-10T19:33:00Z</dcterms:modified>
</cp:coreProperties>
</file>