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i w:val="0"/>
          <w:color w:val="FF5C00"/>
          <w:sz w:val="22"/>
        </w:rPr>
        <w:t>Product Requirements Document</w:t>
      </w:r>
    </w:p>
    <w:p>
      <w:pPr>
        <w:spacing w:after="80"/>
      </w:pPr>
      <w:r>
        <w:rPr>
          <w:rFonts w:ascii="Calibri" w:hAnsi="Calibri"/>
          <w:b/>
          <w:i w:val="0"/>
          <w:color w:val="1C1B2E"/>
          <w:sz w:val="40"/>
        </w:rPr>
        <w:t>Contract Ingestion — Deal Closed to Billing Ready</w:t>
      </w:r>
    </w:p>
    <w:p>
      <w:pPr>
        <w:spacing w:after="200"/>
      </w:pPr>
      <w:r>
        <w:rPr>
          <w:rFonts w:ascii="Calibri" w:hAnsi="Calibri"/>
          <w:b w:val="0"/>
          <w:i/>
          <w:color w:val="6B6B7B"/>
          <w:sz w:val="18"/>
        </w:rPr>
        <w:t>Apex by Chargebee  ·  SLG Prototype  ·  Confidential  ·  July 2026  ·  v1.0</w:t>
      </w:r>
    </w:p>
    <w:p>
      <w:pPr>
        <w:pStyle w:val="Heading1"/>
      </w:pPr>
      <w:r>
        <w:t>1. Overview</w:t>
      </w:r>
    </w:p>
    <w:p>
      <w:pPr>
        <w:pStyle w:val="Heading2"/>
      </w:pPr>
      <w:r>
        <w:t>1.1 Problem</w:t>
      </w:r>
    </w:p>
    <w:p>
      <w:pPr>
        <w:spacing w:after="120" w:before="0" w:line="269" w:lineRule="auto"/>
      </w:pPr>
      <w:r>
        <w:rPr>
          <w:rFonts w:ascii="Calibri" w:hAnsi="Calibri"/>
          <w:b w:val="0"/>
          <w:i w:val="0"/>
          <w:color w:val="1C1B2E"/>
          <w:sz w:val="20"/>
        </w:rPr>
        <w:t>Sales-led deals close on negotiated contracts (PDFs, DOCX, schedules), but billing systems need structured accounts, products, terms, and payment schedules. Today that gap is bridged manually by deal desk and finance—slow, error-prone, and disconnected from the signed document. First invoice and revenue recognition often slip days or weeks after signature.</w:t>
      </w:r>
    </w:p>
    <w:p>
      <w:pPr>
        <w:pStyle w:val="Heading2"/>
      </w:pPr>
      <w:r>
        <w:t>1.2 Solution</w:t>
      </w:r>
    </w:p>
    <w:p>
      <w:pPr>
        <w:spacing w:after="120" w:before="0" w:line="269" w:lineRule="auto"/>
      </w:pPr>
      <w:r>
        <w:rPr>
          <w:rFonts w:ascii="Calibri" w:hAnsi="Calibri"/>
          <w:b w:val="0"/>
          <w:i w:val="0"/>
          <w:color w:val="1C1B2E"/>
          <w:sz w:val="20"/>
        </w:rPr>
        <w:t>Contract Ingestion is an AI-native workbench that turns signed contracts into billing-ready records. Users upload one or more contracts; AI extracts and structures account, terms, products, and schedules; matches or creates the customer; flags gaps for human review; and produces a sales order / invoice path—collapsing “deal closed” into “customer billed.”</w:t>
      </w:r>
    </w:p>
    <w:p>
      <w:pPr>
        <w:pStyle w:val="Heading2"/>
      </w:pPr>
      <w:r>
        <w:t>1.3 Goals</w:t>
      </w:r>
    </w:p>
    <w:p>
      <w:pPr>
        <w:pStyle w:val="ListBullet"/>
        <w:spacing w:after="60" w:line="264" w:lineRule="auto"/>
      </w:pPr>
      <w:r>
        <w:rPr>
          <w:rFonts w:ascii="Calibri" w:hAnsi="Calibri"/>
          <w:b/>
          <w:i w:val="0"/>
          <w:color w:val="1C1B2E"/>
          <w:sz w:val="20"/>
        </w:rPr>
        <w:t xml:space="preserve">Speed — </w:t>
      </w:r>
      <w:r>
        <w:rPr>
          <w:rFonts w:ascii="Calibri" w:hAnsi="Calibri"/>
          <w:b w:val="0"/>
          <w:i w:val="0"/>
          <w:color w:val="1C1B2E"/>
          <w:sz w:val="20"/>
        </w:rPr>
        <w:t>Reduce median time from signed contract to first accurate invoice.</w:t>
      </w:r>
    </w:p>
    <w:p>
      <w:pPr>
        <w:pStyle w:val="ListBullet"/>
        <w:spacing w:after="60" w:line="264" w:lineRule="auto"/>
      </w:pPr>
      <w:r>
        <w:rPr>
          <w:rFonts w:ascii="Calibri" w:hAnsi="Calibri"/>
          <w:b/>
          <w:i w:val="0"/>
          <w:color w:val="1C1B2E"/>
          <w:sz w:val="20"/>
        </w:rPr>
        <w:t xml:space="preserve">Accuracy — </w:t>
      </w:r>
      <w:r>
        <w:rPr>
          <w:rFonts w:ascii="Calibri" w:hAnsi="Calibri"/>
          <w:b w:val="0"/>
          <w:i w:val="0"/>
          <w:color w:val="1C1B2E"/>
          <w:sz w:val="20"/>
        </w:rPr>
        <w:t>Maximize extraction and customer-match acceptance with confidence-ranked AI suggestions.</w:t>
      </w:r>
    </w:p>
    <w:p>
      <w:pPr>
        <w:pStyle w:val="ListBullet"/>
        <w:spacing w:after="60" w:line="264" w:lineRule="auto"/>
      </w:pPr>
      <w:r>
        <w:rPr>
          <w:rFonts w:ascii="Calibri" w:hAnsi="Calibri"/>
          <w:b/>
          <w:i w:val="0"/>
          <w:color w:val="1C1B2E"/>
          <w:sz w:val="20"/>
        </w:rPr>
        <w:t xml:space="preserve">Trust — </w:t>
      </w:r>
      <w:r>
        <w:rPr>
          <w:rFonts w:ascii="Calibri" w:hAnsi="Calibri"/>
          <w:b w:val="0"/>
          <w:i w:val="0"/>
          <w:color w:val="1C1B2E"/>
          <w:sz w:val="20"/>
        </w:rPr>
        <w:t>Make every field auditable via source citations and edit history.</w:t>
      </w:r>
    </w:p>
    <w:p>
      <w:pPr>
        <w:pStyle w:val="ListBullet"/>
        <w:spacing w:after="60" w:line="264" w:lineRule="auto"/>
      </w:pPr>
      <w:r>
        <w:rPr>
          <w:rFonts w:ascii="Calibri" w:hAnsi="Calibri"/>
          <w:b/>
          <w:i w:val="0"/>
          <w:color w:val="1C1B2E"/>
          <w:sz w:val="20"/>
        </w:rPr>
        <w:t xml:space="preserve">Collaboration — </w:t>
      </w:r>
      <w:r>
        <w:rPr>
          <w:rFonts w:ascii="Calibri" w:hAnsi="Calibri"/>
          <w:b w:val="0"/>
          <w:i w:val="0"/>
          <w:color w:val="1C1B2E"/>
          <w:sz w:val="20"/>
        </w:rPr>
        <w:t>Enable deal desk, finance, and approvers to collaborate in one deal context.</w:t>
      </w:r>
    </w:p>
    <w:p>
      <w:pPr>
        <w:pStyle w:val="Heading2"/>
      </w:pPr>
      <w:r>
        <w:t>1.4 Non-goals (v1)</w:t>
      </w:r>
    </w:p>
    <w:p>
      <w:pPr>
        <w:pStyle w:val="ListBullet"/>
        <w:spacing w:after="60" w:line="264" w:lineRule="auto"/>
      </w:pPr>
      <w:r>
        <w:rPr>
          <w:rFonts w:ascii="Calibri" w:hAnsi="Calibri"/>
          <w:b w:val="0"/>
          <w:i w:val="0"/>
          <w:color w:val="1C1B2E"/>
          <w:sz w:val="20"/>
        </w:rPr>
        <w:t>Real Chargebee API provisioning, DocuSign ingestion, or automated approval routing rules.</w:t>
      </w:r>
    </w:p>
    <w:p>
      <w:pPr>
        <w:pStyle w:val="ListBullet"/>
        <w:spacing w:after="60" w:line="264" w:lineRule="auto"/>
      </w:pPr>
      <w:r>
        <w:rPr>
          <w:rFonts w:ascii="Calibri" w:hAnsi="Calibri"/>
          <w:b w:val="0"/>
          <w:i w:val="0"/>
          <w:color w:val="1C1B2E"/>
          <w:sz w:val="20"/>
        </w:rPr>
        <w:t>Full Customer 360 modules (Quotes, Collections, RevRec, Threads) beyond shell navigation.</w:t>
      </w:r>
    </w:p>
    <w:p>
      <w:pPr>
        <w:pStyle w:val="ListBullet"/>
        <w:spacing w:after="60" w:line="264" w:lineRule="auto"/>
      </w:pPr>
      <w:r>
        <w:rPr>
          <w:rFonts w:ascii="Calibri" w:hAnsi="Calibri"/>
          <w:b w:val="0"/>
          <w:i w:val="0"/>
          <w:color w:val="1C1B2E"/>
          <w:sz w:val="20"/>
        </w:rPr>
        <w:t>PLG self-serve signup; role-based admin console; multi-tenant configuration UI.</w:t>
      </w:r>
    </w:p>
    <w:p>
      <w:pPr>
        <w:pStyle w:val="Heading2"/>
      </w:pPr>
      <w:r>
        <w:t>1.5 Personas</w:t>
      </w:r>
    </w:p>
    <w:tbl>
      <w:tblPr>
        <w:tblStyle w:val="TableGrid"/>
        <w:tblW w:type="auto" w:w="0"/>
        <w:tblLook w:firstColumn="1" w:firstRow="1" w:lastColumn="0" w:lastRow="0" w:noHBand="0" w:noVBand="1" w:val="04A0"/>
      </w:tblPr>
      <w:tblGrid>
        <w:gridCol w:w="4896"/>
        <w:gridCol w:w="4896"/>
      </w:tblGrid>
      <w:tr>
        <w:tc>
          <w:tcPr>
            <w:tcW w:type="dxa" w:w="2592"/>
            <w:shd w:fill="1C1B2E" w:val="clear"/>
          </w:tcPr>
          <w:p>
            <w:pPr>
              <w:spacing w:after="40" w:before="40"/>
            </w:pPr>
            <w:r/>
            <w:r>
              <w:rPr>
                <w:rFonts w:ascii="Calibri" w:hAnsi="Calibri"/>
                <w:b/>
                <w:i w:val="0"/>
                <w:color w:val="FFFFFF"/>
                <w:sz w:val="18"/>
              </w:rPr>
              <w:t>Persona</w:t>
            </w:r>
          </w:p>
        </w:tc>
        <w:tc>
          <w:tcPr>
            <w:tcW w:type="dxa" w:w="7056"/>
            <w:shd w:fill="1C1B2E" w:val="clear"/>
          </w:tcPr>
          <w:p>
            <w:pPr>
              <w:spacing w:after="40" w:before="40"/>
            </w:pPr>
            <w:r/>
            <w:r>
              <w:rPr>
                <w:rFonts w:ascii="Calibri" w:hAnsi="Calibri"/>
                <w:b/>
                <w:i w:val="0"/>
                <w:color w:val="FFFFFF"/>
                <w:sz w:val="18"/>
              </w:rPr>
              <w:t>Primary jobs</w:t>
            </w:r>
          </w:p>
        </w:tc>
      </w:tr>
      <w:tr>
        <w:tc>
          <w:tcPr>
            <w:tcW w:type="dxa" w:w="2592"/>
          </w:tcPr>
          <w:p>
            <w:pPr>
              <w:spacing w:after="20" w:before="20"/>
            </w:pPr>
            <w:r/>
            <w:r>
              <w:rPr>
                <w:rFonts w:ascii="Calibri" w:hAnsi="Calibri"/>
                <w:b w:val="0"/>
                <w:i w:val="0"/>
                <w:color w:val="1C1B2E"/>
                <w:sz w:val="18"/>
              </w:rPr>
              <w:t>Deal desk / RevOps</w:t>
            </w:r>
          </w:p>
        </w:tc>
        <w:tc>
          <w:tcPr>
            <w:tcW w:type="dxa" w:w="7056"/>
          </w:tcPr>
          <w:p>
            <w:pPr>
              <w:spacing w:after="20" w:before="20"/>
            </w:pPr>
            <w:r/>
            <w:r>
              <w:rPr>
                <w:rFonts w:ascii="Calibri" w:hAnsi="Calibri"/>
                <w:b w:val="0"/>
                <w:i w:val="0"/>
                <w:color w:val="1C1B2E"/>
                <w:sz w:val="18"/>
              </w:rPr>
              <w:t>Process ingestion queue, resolve attention items, link customers, edit fields</w:t>
            </w:r>
          </w:p>
        </w:tc>
      </w:tr>
      <w:tr>
        <w:tc>
          <w:tcPr>
            <w:tcW w:type="dxa" w:w="2592"/>
            <w:shd w:fill="F5F5F7" w:val="clear"/>
          </w:tcPr>
          <w:p>
            <w:pPr>
              <w:spacing w:after="20" w:before="20"/>
            </w:pPr>
            <w:r/>
            <w:r>
              <w:rPr>
                <w:rFonts w:ascii="Calibri" w:hAnsi="Calibri"/>
                <w:b w:val="0"/>
                <w:i w:val="0"/>
                <w:color w:val="1C1B2E"/>
                <w:sz w:val="18"/>
              </w:rPr>
              <w:t>Sales / AE</w:t>
            </w:r>
          </w:p>
        </w:tc>
        <w:tc>
          <w:tcPr>
            <w:tcW w:type="dxa" w:w="7056"/>
            <w:shd w:fill="F5F5F7" w:val="clear"/>
          </w:tcPr>
          <w:p>
            <w:pPr>
              <w:spacing w:after="20" w:before="20"/>
            </w:pPr>
            <w:r/>
            <w:r>
              <w:rPr>
                <w:rFonts w:ascii="Calibri" w:hAnsi="Calibri"/>
                <w:b w:val="0"/>
                <w:i w:val="0"/>
                <w:color w:val="1C1B2E"/>
                <w:sz w:val="18"/>
              </w:rPr>
              <w:t>Upload contracts; optional processing instructions</w:t>
            </w:r>
          </w:p>
        </w:tc>
      </w:tr>
      <w:tr>
        <w:tc>
          <w:tcPr>
            <w:tcW w:type="dxa" w:w="2592"/>
          </w:tcPr>
          <w:p>
            <w:pPr>
              <w:spacing w:after="20" w:before="20"/>
            </w:pPr>
            <w:r/>
            <w:r>
              <w:rPr>
                <w:rFonts w:ascii="Calibri" w:hAnsi="Calibri"/>
                <w:b w:val="0"/>
                <w:i w:val="0"/>
                <w:color w:val="1C1B2E"/>
                <w:sz w:val="18"/>
              </w:rPr>
              <w:t>Billing / Finance</w:t>
            </w:r>
          </w:p>
        </w:tc>
        <w:tc>
          <w:tcPr>
            <w:tcW w:type="dxa" w:w="7056"/>
          </w:tcPr>
          <w:p>
            <w:pPr>
              <w:spacing w:after="20" w:before="20"/>
            </w:pPr>
            <w:r/>
            <w:r>
              <w:rPr>
                <w:rFonts w:ascii="Calibri" w:hAnsi="Calibri"/>
                <w:b w:val="0"/>
                <w:i w:val="0"/>
                <w:color w:val="1C1B2E"/>
                <w:sz w:val="18"/>
              </w:rPr>
              <w:t>Review schedule &amp; invoice preview before issuance</w:t>
            </w:r>
          </w:p>
        </w:tc>
      </w:tr>
      <w:tr>
        <w:tc>
          <w:tcPr>
            <w:tcW w:type="dxa" w:w="2592"/>
            <w:shd w:fill="F5F5F7" w:val="clear"/>
          </w:tcPr>
          <w:p>
            <w:pPr>
              <w:spacing w:after="20" w:before="20"/>
            </w:pPr>
            <w:r/>
            <w:r>
              <w:rPr>
                <w:rFonts w:ascii="Calibri" w:hAnsi="Calibri"/>
                <w:b w:val="0"/>
                <w:i w:val="0"/>
                <w:color w:val="1C1B2E"/>
                <w:sz w:val="18"/>
              </w:rPr>
              <w:t>Approver / Manager</w:t>
            </w:r>
          </w:p>
        </w:tc>
        <w:tc>
          <w:tcPr>
            <w:tcW w:type="dxa" w:w="7056"/>
            <w:shd w:fill="F5F5F7" w:val="clear"/>
          </w:tcPr>
          <w:p>
            <w:pPr>
              <w:spacing w:after="20" w:before="20"/>
            </w:pPr>
            <w:r/>
            <w:r>
              <w:rPr>
                <w:rFonts w:ascii="Calibri" w:hAnsi="Calibri"/>
                <w:b w:val="0"/>
                <w:i w:val="0"/>
                <w:color w:val="1C1B2E"/>
                <w:sz w:val="18"/>
              </w:rPr>
              <w:t>Approve pending contracts/invoices; unblock issues via comments</w:t>
            </w:r>
          </w:p>
        </w:tc>
      </w:tr>
      <w:tr>
        <w:tc>
          <w:tcPr>
            <w:tcW w:type="dxa" w:w="2592"/>
          </w:tcPr>
          <w:p>
            <w:pPr>
              <w:spacing w:after="20" w:before="20"/>
            </w:pPr>
            <w:r/>
            <w:r>
              <w:rPr>
                <w:rFonts w:ascii="Calibri" w:hAnsi="Calibri"/>
                <w:b w:val="0"/>
                <w:i w:val="0"/>
                <w:color w:val="1C1B2E"/>
                <w:sz w:val="18"/>
              </w:rPr>
              <w:t>Catalog owner</w:t>
            </w:r>
          </w:p>
        </w:tc>
        <w:tc>
          <w:tcPr>
            <w:tcW w:type="dxa" w:w="7056"/>
          </w:tcPr>
          <w:p>
            <w:pPr>
              <w:spacing w:after="20" w:before="20"/>
            </w:pPr>
            <w:r/>
            <w:r>
              <w:rPr>
                <w:rFonts w:ascii="Calibri" w:hAnsi="Calibri"/>
                <w:b w:val="0"/>
                <w:i w:val="0"/>
                <w:color w:val="1C1B2E"/>
                <w:sz w:val="18"/>
              </w:rPr>
              <w:t>Map unrecognized line items to SKUs or create new products</w:t>
            </w:r>
          </w:p>
        </w:tc>
      </w:tr>
    </w:tbl>
    <w:p>
      <w:pPr>
        <w:spacing w:after="80"/>
      </w:pPr>
    </w:p>
    <w:p>
      <w:pPr>
        <w:pStyle w:val="Heading1"/>
      </w:pPr>
      <w:r>
        <w:t>2. User Journey &amp; Requirements</w:t>
      </w:r>
    </w:p>
    <w:p>
      <w:pPr>
        <w:pStyle w:val="Heading2"/>
      </w:pPr>
      <w:r>
        <w:t>2.1 End-to-end flow</w:t>
      </w:r>
    </w:p>
    <w:p>
      <w:pPr>
        <w:spacing w:after="120" w:before="0" w:line="269" w:lineRule="auto"/>
      </w:pPr>
      <w:r>
        <w:rPr>
          <w:rFonts w:ascii="Calibri" w:hAnsi="Calibri"/>
          <w:b w:val="0"/>
          <w:i/>
          <w:color w:val="1C1B2E"/>
          <w:sz w:val="20"/>
        </w:rPr>
        <w:t>Upload → AI extraction → Workbench task → Customer link (match / create) → Contract review (Customer 360 Tasks) → Resolve attention → Create Sales Order and/or Send for approval → Invoice (pending) → All invoices.</w:t>
      </w:r>
    </w:p>
    <w:tbl>
      <w:tblPr>
        <w:tblStyle w:val="TableGrid"/>
        <w:tblW w:type="auto" w:w="0"/>
        <w:tblLook w:firstColumn="1" w:firstRow="1" w:lastColumn="0" w:lastRow="0" w:noHBand="0" w:noVBand="1" w:val="04A0"/>
      </w:tblPr>
      <w:tblGrid>
        <w:gridCol w:w="3264"/>
        <w:gridCol w:w="3264"/>
        <w:gridCol w:w="3264"/>
      </w:tblGrid>
      <w:tr>
        <w:tc>
          <w:tcPr>
            <w:tcW w:type="dxa" w:w="1872"/>
            <w:shd w:fill="1C1B2E" w:val="clear"/>
          </w:tcPr>
          <w:p>
            <w:pPr>
              <w:spacing w:after="40" w:before="40"/>
            </w:pPr>
            <w:r/>
            <w:r>
              <w:rPr>
                <w:rFonts w:ascii="Calibri" w:hAnsi="Calibri"/>
                <w:b/>
                <w:i w:val="0"/>
                <w:color w:val="FFFFFF"/>
                <w:sz w:val="18"/>
              </w:rPr>
              <w:t>Step</w:t>
            </w:r>
          </w:p>
        </w:tc>
        <w:tc>
          <w:tcPr>
            <w:tcW w:type="dxa" w:w="3456"/>
            <w:shd w:fill="1C1B2E" w:val="clear"/>
          </w:tcPr>
          <w:p>
            <w:pPr>
              <w:spacing w:after="40" w:before="40"/>
            </w:pPr>
            <w:r/>
            <w:r>
              <w:rPr>
                <w:rFonts w:ascii="Calibri" w:hAnsi="Calibri"/>
                <w:b/>
                <w:i w:val="0"/>
                <w:color w:val="FFFFFF"/>
                <w:sz w:val="18"/>
              </w:rPr>
              <w:t>Surface</w:t>
            </w:r>
          </w:p>
        </w:tc>
        <w:tc>
          <w:tcPr>
            <w:tcW w:type="dxa" w:w="4320"/>
            <w:shd w:fill="1C1B2E" w:val="clear"/>
          </w:tcPr>
          <w:p>
            <w:pPr>
              <w:spacing w:after="40" w:before="40"/>
            </w:pPr>
            <w:r/>
            <w:r>
              <w:rPr>
                <w:rFonts w:ascii="Calibri" w:hAnsi="Calibri"/>
                <w:b/>
                <w:i w:val="0"/>
                <w:color w:val="FFFFFF"/>
                <w:sz w:val="18"/>
              </w:rPr>
              <w:t>Outcome</w:t>
            </w:r>
          </w:p>
        </w:tc>
      </w:tr>
      <w:tr>
        <w:tc>
          <w:tcPr>
            <w:tcW w:type="dxa" w:w="1872"/>
          </w:tcPr>
          <w:p>
            <w:pPr>
              <w:spacing w:after="20" w:before="20"/>
            </w:pPr>
            <w:r/>
            <w:r>
              <w:rPr>
                <w:rFonts w:ascii="Calibri" w:hAnsi="Calibri"/>
                <w:b w:val="0"/>
                <w:i w:val="0"/>
                <w:color w:val="1C1B2E"/>
                <w:sz w:val="18"/>
              </w:rPr>
              <w:t>1. Upload</w:t>
            </w:r>
          </w:p>
        </w:tc>
        <w:tc>
          <w:tcPr>
            <w:tcW w:type="dxa" w:w="3456"/>
          </w:tcPr>
          <w:p>
            <w:pPr>
              <w:spacing w:after="20" w:before="20"/>
            </w:pPr>
            <w:r/>
            <w:r>
              <w:rPr>
                <w:rFonts w:ascii="Calibri" w:hAnsi="Calibri"/>
                <w:b w:val="0"/>
                <w:i w:val="0"/>
                <w:color w:val="1C1B2E"/>
                <w:sz w:val="18"/>
              </w:rPr>
              <w:t>Global drop overlay / Workbench</w:t>
            </w:r>
          </w:p>
        </w:tc>
        <w:tc>
          <w:tcPr>
            <w:tcW w:type="dxa" w:w="4320"/>
          </w:tcPr>
          <w:p>
            <w:pPr>
              <w:spacing w:after="20" w:before="20"/>
            </w:pPr>
            <w:r/>
            <w:r>
              <w:rPr>
                <w:rFonts w:ascii="Calibri" w:hAnsi="Calibri"/>
                <w:b w:val="0"/>
                <w:i w:val="0"/>
                <w:color w:val="1C1B2E"/>
                <w:sz w:val="18"/>
              </w:rPr>
              <w:t>Files accepted (PDF, DOC, DOCX, TXT); progress shown</w:t>
            </w:r>
          </w:p>
        </w:tc>
      </w:tr>
      <w:tr>
        <w:tc>
          <w:tcPr>
            <w:tcW w:type="dxa" w:w="1872"/>
            <w:shd w:fill="F5F5F7" w:val="clear"/>
          </w:tcPr>
          <w:p>
            <w:pPr>
              <w:spacing w:after="20" w:before="20"/>
            </w:pPr>
            <w:r/>
            <w:r>
              <w:rPr>
                <w:rFonts w:ascii="Calibri" w:hAnsi="Calibri"/>
                <w:b w:val="0"/>
                <w:i w:val="0"/>
                <w:color w:val="1C1B2E"/>
                <w:sz w:val="18"/>
              </w:rPr>
              <w:t>2. Extract</w:t>
            </w:r>
          </w:p>
        </w:tc>
        <w:tc>
          <w:tcPr>
            <w:tcW w:type="dxa" w:w="3456"/>
            <w:shd w:fill="F5F5F7" w:val="clear"/>
          </w:tcPr>
          <w:p>
            <w:pPr>
              <w:spacing w:after="20" w:before="20"/>
            </w:pPr>
            <w:r/>
            <w:r>
              <w:rPr>
                <w:rFonts w:ascii="Calibri" w:hAnsi="Calibri"/>
                <w:b w:val="0"/>
                <w:i w:val="0"/>
                <w:color w:val="1C1B2E"/>
                <w:sz w:val="18"/>
              </w:rPr>
              <w:t>TopNav bar (single) or in-table (batch)</w:t>
            </w:r>
          </w:p>
        </w:tc>
        <w:tc>
          <w:tcPr>
            <w:tcW w:type="dxa" w:w="4320"/>
            <w:shd w:fill="F5F5F7" w:val="clear"/>
          </w:tcPr>
          <w:p>
            <w:pPr>
              <w:spacing w:after="20" w:before="20"/>
            </w:pPr>
            <w:r/>
            <w:r>
              <w:rPr>
                <w:rFonts w:ascii="Calibri" w:hAnsi="Calibri"/>
                <w:b w:val="0"/>
                <w:i w:val="0"/>
                <w:color w:val="1C1B2E"/>
                <w:sz w:val="18"/>
              </w:rPr>
              <w:t>Structured contract data; task created in queue</w:t>
            </w:r>
          </w:p>
        </w:tc>
      </w:tr>
      <w:tr>
        <w:tc>
          <w:tcPr>
            <w:tcW w:type="dxa" w:w="1872"/>
          </w:tcPr>
          <w:p>
            <w:pPr>
              <w:spacing w:after="20" w:before="20"/>
            </w:pPr>
            <w:r/>
            <w:r>
              <w:rPr>
                <w:rFonts w:ascii="Calibri" w:hAnsi="Calibri"/>
                <w:b w:val="0"/>
                <w:i w:val="0"/>
                <w:color w:val="1C1B2E"/>
                <w:sz w:val="18"/>
              </w:rPr>
              <w:t>3. Link customer</w:t>
            </w:r>
          </w:p>
        </w:tc>
        <w:tc>
          <w:tcPr>
            <w:tcW w:type="dxa" w:w="3456"/>
          </w:tcPr>
          <w:p>
            <w:pPr>
              <w:spacing w:after="20" w:before="20"/>
            </w:pPr>
            <w:r/>
            <w:r>
              <w:rPr>
                <w:rFonts w:ascii="Calibri" w:hAnsi="Calibri"/>
                <w:b w:val="0"/>
                <w:i w:val="0"/>
                <w:color w:val="1C1B2E"/>
                <w:sz w:val="18"/>
              </w:rPr>
              <w:t>Customer Link modal (40/60)</w:t>
            </w:r>
          </w:p>
        </w:tc>
        <w:tc>
          <w:tcPr>
            <w:tcW w:type="dxa" w:w="4320"/>
          </w:tcPr>
          <w:p>
            <w:pPr>
              <w:spacing w:after="20" w:before="20"/>
            </w:pPr>
            <w:r/>
            <w:r>
              <w:rPr>
                <w:rFonts w:ascii="Calibri" w:hAnsi="Calibri"/>
                <w:b w:val="0"/>
                <w:i w:val="0"/>
                <w:color w:val="1C1B2E"/>
                <w:sz w:val="18"/>
              </w:rPr>
              <w:t>Perfect / closest / no-match; or create new account</w:t>
            </w:r>
          </w:p>
        </w:tc>
      </w:tr>
      <w:tr>
        <w:tc>
          <w:tcPr>
            <w:tcW w:type="dxa" w:w="1872"/>
            <w:shd w:fill="F5F5F7" w:val="clear"/>
          </w:tcPr>
          <w:p>
            <w:pPr>
              <w:spacing w:after="20" w:before="20"/>
            </w:pPr>
            <w:r/>
            <w:r>
              <w:rPr>
                <w:rFonts w:ascii="Calibri" w:hAnsi="Calibri"/>
                <w:b w:val="0"/>
                <w:i w:val="0"/>
                <w:color w:val="1C1B2E"/>
                <w:sz w:val="18"/>
              </w:rPr>
              <w:t>4. Review</w:t>
            </w:r>
          </w:p>
        </w:tc>
        <w:tc>
          <w:tcPr>
            <w:tcW w:type="dxa" w:w="3456"/>
            <w:shd w:fill="F5F5F7" w:val="clear"/>
          </w:tcPr>
          <w:p>
            <w:pPr>
              <w:spacing w:after="20" w:before="20"/>
            </w:pPr>
            <w:r/>
            <w:r>
              <w:rPr>
                <w:rFonts w:ascii="Calibri" w:hAnsi="Calibri"/>
                <w:b w:val="0"/>
                <w:i w:val="0"/>
                <w:color w:val="1C1B2E"/>
                <w:sz w:val="18"/>
              </w:rPr>
              <w:t>Customer 360 → Tasks</w:t>
            </w:r>
          </w:p>
        </w:tc>
        <w:tc>
          <w:tcPr>
            <w:tcW w:type="dxa" w:w="4320"/>
            <w:shd w:fill="F5F5F7" w:val="clear"/>
          </w:tcPr>
          <w:p>
            <w:pPr>
              <w:spacing w:after="20" w:before="20"/>
            </w:pPr>
            <w:r/>
            <w:r>
              <w:rPr>
                <w:rFonts w:ascii="Calibri" w:hAnsi="Calibri"/>
                <w:b w:val="0"/>
                <w:i w:val="0"/>
                <w:color w:val="1C1B2E"/>
                <w:sz w:val="18"/>
              </w:rPr>
              <w:t>7 sections with source citations, comments, edits</w:t>
            </w:r>
          </w:p>
        </w:tc>
      </w:tr>
      <w:tr>
        <w:tc>
          <w:tcPr>
            <w:tcW w:type="dxa" w:w="1872"/>
          </w:tcPr>
          <w:p>
            <w:pPr>
              <w:spacing w:after="20" w:before="20"/>
            </w:pPr>
            <w:r/>
            <w:r>
              <w:rPr>
                <w:rFonts w:ascii="Calibri" w:hAnsi="Calibri"/>
                <w:b w:val="0"/>
                <w:i w:val="0"/>
                <w:color w:val="1C1B2E"/>
                <w:sz w:val="18"/>
              </w:rPr>
              <w:t>5. Downstream</w:t>
            </w:r>
          </w:p>
        </w:tc>
        <w:tc>
          <w:tcPr>
            <w:tcW w:type="dxa" w:w="3456"/>
          </w:tcPr>
          <w:p>
            <w:pPr>
              <w:spacing w:after="20" w:before="20"/>
            </w:pPr>
            <w:r/>
            <w:r>
              <w:rPr>
                <w:rFonts w:ascii="Calibri" w:hAnsi="Calibri"/>
                <w:b w:val="0"/>
                <w:i w:val="0"/>
                <w:color w:val="1C1B2E"/>
                <w:sz w:val="18"/>
              </w:rPr>
              <w:t>SO / Invoice views</w:t>
            </w:r>
          </w:p>
        </w:tc>
        <w:tc>
          <w:tcPr>
            <w:tcW w:type="dxa" w:w="4320"/>
          </w:tcPr>
          <w:p>
            <w:pPr>
              <w:spacing w:after="20" w:before="20"/>
            </w:pPr>
            <w:r/>
            <w:r>
              <w:rPr>
                <w:rFonts w:ascii="Calibri" w:hAnsi="Calibri"/>
                <w:b w:val="0"/>
                <w:i w:val="0"/>
                <w:color w:val="1C1B2E"/>
                <w:sz w:val="18"/>
              </w:rPr>
              <w:t>Sales order created; invoice pending approval</w:t>
            </w:r>
          </w:p>
        </w:tc>
      </w:tr>
    </w:tbl>
    <w:p>
      <w:pPr>
        <w:spacing w:after="80"/>
      </w:pPr>
    </w:p>
    <w:p>
      <w:pPr>
        <w:pStyle w:val="Heading2"/>
      </w:pPr>
      <w:r>
        <w:t>2.2 Functional requirements</w:t>
      </w:r>
    </w:p>
    <w:p>
      <w:pPr>
        <w:pStyle w:val="Heading3"/>
      </w:pPr>
      <w:r>
        <w:t>Ingestion</w:t>
      </w:r>
    </w:p>
    <w:p>
      <w:pPr>
        <w:pStyle w:val="ListBullet"/>
        <w:spacing w:after="60" w:line="264" w:lineRule="auto"/>
      </w:pPr>
      <w:r>
        <w:rPr>
          <w:rFonts w:ascii="Calibri" w:hAnsi="Calibri"/>
          <w:b/>
          <w:i w:val="0"/>
          <w:color w:val="1C1B2E"/>
          <w:sz w:val="20"/>
        </w:rPr>
        <w:t xml:space="preserve">FR-1 — </w:t>
      </w:r>
      <w:r>
        <w:rPr>
          <w:rFonts w:ascii="Calibri" w:hAnsi="Calibri"/>
          <w:b w:val="0"/>
          <w:i w:val="0"/>
          <w:color w:val="1C1B2E"/>
          <w:sz w:val="20"/>
        </w:rPr>
        <w:t>Accept single and batch uploads with per-file progress and sequential extraction.</w:t>
      </w:r>
    </w:p>
    <w:p>
      <w:pPr>
        <w:pStyle w:val="ListBullet"/>
        <w:spacing w:after="60" w:line="264" w:lineRule="auto"/>
      </w:pPr>
      <w:r>
        <w:rPr>
          <w:rFonts w:ascii="Calibri" w:hAnsi="Calibri"/>
          <w:b/>
          <w:i w:val="0"/>
          <w:color w:val="1C1B2E"/>
          <w:sz w:val="20"/>
        </w:rPr>
        <w:t xml:space="preserve">FR-2 — </w:t>
      </w:r>
      <w:r>
        <w:rPr>
          <w:rFonts w:ascii="Calibri" w:hAnsi="Calibri"/>
          <w:b w:val="0"/>
          <w:i w:val="0"/>
          <w:color w:val="1C1B2E"/>
          <w:sz w:val="20"/>
        </w:rPr>
        <w:t>Optional natural-language processing instructions at upload (V0 path).</w:t>
      </w:r>
    </w:p>
    <w:p>
      <w:pPr>
        <w:pStyle w:val="ListBullet"/>
        <w:spacing w:after="60" w:line="264" w:lineRule="auto"/>
      </w:pPr>
      <w:r>
        <w:rPr>
          <w:rFonts w:ascii="Calibri" w:hAnsi="Calibri"/>
          <w:b/>
          <w:i w:val="0"/>
          <w:color w:val="1C1B2E"/>
          <w:sz w:val="20"/>
        </w:rPr>
        <w:t xml:space="preserve">FR-3 — </w:t>
      </w:r>
      <w:r>
        <w:rPr>
          <w:rFonts w:ascii="Calibri" w:hAnsi="Calibri"/>
          <w:b w:val="0"/>
          <w:i w:val="0"/>
          <w:color w:val="1C1B2E"/>
          <w:sz w:val="20"/>
        </w:rPr>
        <w:t>Create a workbench task per ingestion with severity, status, TCV, owner, and urgency.</w:t>
      </w:r>
    </w:p>
    <w:p>
      <w:pPr>
        <w:pStyle w:val="Heading3"/>
      </w:pPr>
      <w:r>
        <w:t>Extraction &amp; review</w:t>
      </w:r>
    </w:p>
    <w:p>
      <w:pPr>
        <w:pStyle w:val="ListBullet"/>
        <w:spacing w:after="60" w:line="264" w:lineRule="auto"/>
      </w:pPr>
      <w:r>
        <w:rPr>
          <w:rFonts w:ascii="Calibri" w:hAnsi="Calibri"/>
          <w:b/>
          <w:i w:val="0"/>
          <w:color w:val="1C1B2E"/>
          <w:sz w:val="20"/>
        </w:rPr>
        <w:t xml:space="preserve">FR-4 — </w:t>
      </w:r>
      <w:r>
        <w:rPr>
          <w:rFonts w:ascii="Calibri" w:hAnsi="Calibri"/>
          <w:b w:val="0"/>
          <w:i w:val="0"/>
          <w:color w:val="1C1B2E"/>
          <w:sz w:val="20"/>
        </w:rPr>
        <w:t>Extract Summary, Account, Addresses, Terms &amp; billing, Products &amp; pricing, Billing schedule, Invoice preview.</w:t>
      </w:r>
    </w:p>
    <w:p>
      <w:pPr>
        <w:pStyle w:val="ListBullet"/>
        <w:spacing w:after="60" w:line="264" w:lineRule="auto"/>
      </w:pPr>
      <w:r>
        <w:rPr>
          <w:rFonts w:ascii="Calibri" w:hAnsi="Calibri"/>
          <w:b/>
          <w:i w:val="0"/>
          <w:color w:val="1C1B2E"/>
          <w:sz w:val="20"/>
        </w:rPr>
        <w:t xml:space="preserve">FR-5 — </w:t>
      </w:r>
      <w:r>
        <w:rPr>
          <w:rFonts w:ascii="Calibri" w:hAnsi="Calibri"/>
          <w:b w:val="0"/>
          <w:i w:val="0"/>
          <w:color w:val="1C1B2E"/>
          <w:sz w:val="20"/>
        </w:rPr>
        <w:t>Flag sections/fields needing attention (failed extraction, catalog mismatch); in-page nav status indicators.</w:t>
      </w:r>
    </w:p>
    <w:p>
      <w:pPr>
        <w:pStyle w:val="ListBullet"/>
        <w:spacing w:after="60" w:line="264" w:lineRule="auto"/>
      </w:pPr>
      <w:r>
        <w:rPr>
          <w:rFonts w:ascii="Calibri" w:hAnsi="Calibri"/>
          <w:b/>
          <w:i w:val="0"/>
          <w:color w:val="1C1B2E"/>
          <w:sz w:val="20"/>
        </w:rPr>
        <w:t xml:space="preserve">FR-6 — </w:t>
      </w:r>
      <w:r>
        <w:rPr>
          <w:rFonts w:ascii="Calibri" w:hAnsi="Calibri"/>
          <w:b w:val="0"/>
          <w:i w:val="0"/>
          <w:color w:val="1C1B2E"/>
          <w:sz w:val="20"/>
        </w:rPr>
        <w:t>Inline-edit fields; persist edits as audit comments; “View edits” filter.</w:t>
      </w:r>
    </w:p>
    <w:p>
      <w:pPr>
        <w:pStyle w:val="ListBullet"/>
        <w:spacing w:after="60" w:line="264" w:lineRule="auto"/>
      </w:pPr>
      <w:r>
        <w:rPr>
          <w:rFonts w:ascii="Calibri" w:hAnsi="Calibri"/>
          <w:b/>
          <w:i w:val="0"/>
          <w:color w:val="1C1B2E"/>
          <w:sz w:val="20"/>
        </w:rPr>
        <w:t xml:space="preserve">FR-7 — </w:t>
      </w:r>
      <w:r>
        <w:rPr>
          <w:rFonts w:ascii="Calibri" w:hAnsi="Calibri"/>
          <w:b w:val="0"/>
          <w:i w:val="0"/>
          <w:color w:val="1C1B2E"/>
          <w:sz w:val="20"/>
        </w:rPr>
        <w:t>Show source document thumbnails / page citations per section.</w:t>
      </w:r>
    </w:p>
    <w:p>
      <w:pPr>
        <w:pStyle w:val="Heading3"/>
      </w:pPr>
      <w:r>
        <w:t>Customer resolution</w:t>
      </w:r>
    </w:p>
    <w:p>
      <w:pPr>
        <w:pStyle w:val="ListBullet"/>
        <w:spacing w:after="60" w:line="264" w:lineRule="auto"/>
      </w:pPr>
      <w:r>
        <w:rPr>
          <w:rFonts w:ascii="Calibri" w:hAnsi="Calibri"/>
          <w:b/>
          <w:i w:val="0"/>
          <w:color w:val="1C1B2E"/>
          <w:sz w:val="20"/>
        </w:rPr>
        <w:t xml:space="preserve">FR-8 — </w:t>
      </w:r>
      <w:r>
        <w:rPr>
          <w:rFonts w:ascii="Calibri" w:hAnsi="Calibri"/>
          <w:b w:val="0"/>
          <w:i w:val="0"/>
          <w:color w:val="1C1B2E"/>
          <w:sz w:val="20"/>
        </w:rPr>
        <w:t>Present perfect-match, closest-matches, and no-match scenarios with confidence labels.</w:t>
      </w:r>
    </w:p>
    <w:p>
      <w:pPr>
        <w:pStyle w:val="ListBullet"/>
        <w:spacing w:after="60" w:line="264" w:lineRule="auto"/>
      </w:pPr>
      <w:r>
        <w:rPr>
          <w:rFonts w:ascii="Calibri" w:hAnsi="Calibri"/>
          <w:b/>
          <w:i w:val="0"/>
          <w:color w:val="1C1B2E"/>
          <w:sz w:val="20"/>
        </w:rPr>
        <w:t xml:space="preserve">FR-9 — </w:t>
      </w:r>
      <w:r>
        <w:rPr>
          <w:rFonts w:ascii="Calibri" w:hAnsi="Calibri"/>
          <w:b w:val="0"/>
          <w:i w:val="0"/>
          <w:color w:val="1C1B2E"/>
          <w:sz w:val="20"/>
        </w:rPr>
        <w:t>Search full customer directory; create customer pre-filled from extraction.</w:t>
      </w:r>
    </w:p>
    <w:p>
      <w:pPr>
        <w:pStyle w:val="ListBullet"/>
        <w:spacing w:after="60" w:line="264" w:lineRule="auto"/>
      </w:pPr>
      <w:r>
        <w:rPr>
          <w:rFonts w:ascii="Calibri" w:hAnsi="Calibri"/>
          <w:b/>
          <w:i w:val="0"/>
          <w:color w:val="1C1B2E"/>
          <w:sz w:val="20"/>
        </w:rPr>
        <w:t xml:space="preserve">FR-10 — </w:t>
      </w:r>
      <w:r>
        <w:rPr>
          <w:rFonts w:ascii="Calibri" w:hAnsi="Calibri"/>
          <w:b w:val="0"/>
          <w:i w:val="0"/>
          <w:color w:val="1C1B2E"/>
          <w:sz w:val="20"/>
        </w:rPr>
        <w:t>Allow customer re-link during review via Customer Match drawer.</w:t>
      </w:r>
    </w:p>
    <w:p>
      <w:pPr>
        <w:pStyle w:val="Heading3"/>
      </w:pPr>
      <w:r>
        <w:t>Workflow &amp; collaboration</w:t>
      </w:r>
    </w:p>
    <w:p>
      <w:pPr>
        <w:pStyle w:val="ListBullet"/>
        <w:spacing w:after="60" w:line="264" w:lineRule="auto"/>
      </w:pPr>
      <w:r>
        <w:rPr>
          <w:rFonts w:ascii="Calibri" w:hAnsi="Calibri"/>
          <w:b/>
          <w:i w:val="0"/>
          <w:color w:val="1C1B2E"/>
          <w:sz w:val="20"/>
        </w:rPr>
        <w:t xml:space="preserve">FR-11 — </w:t>
      </w:r>
      <w:r>
        <w:rPr>
          <w:rFonts w:ascii="Calibri" w:hAnsi="Calibri"/>
          <w:b w:val="0"/>
          <w:i w:val="0"/>
          <w:color w:val="1C1B2E"/>
          <w:sz w:val="20"/>
        </w:rPr>
        <w:t>Task statuses: Ready for review → In review → Pending approval → Blocked.</w:t>
      </w:r>
    </w:p>
    <w:p>
      <w:pPr>
        <w:pStyle w:val="ListBullet"/>
        <w:spacing w:after="60" w:line="264" w:lineRule="auto"/>
      </w:pPr>
      <w:r>
        <w:rPr>
          <w:rFonts w:ascii="Calibri" w:hAnsi="Calibri"/>
          <w:b/>
          <w:i w:val="0"/>
          <w:color w:val="1C1B2E"/>
          <w:sz w:val="20"/>
        </w:rPr>
        <w:t xml:space="preserve">FR-12 — </w:t>
      </w:r>
      <w:r>
        <w:rPr>
          <w:rFonts w:ascii="Calibri" w:hAnsi="Calibri"/>
          <w:b w:val="0"/>
          <w:i w:val="0"/>
          <w:color w:val="1C1B2E"/>
          <w:sz w:val="20"/>
        </w:rPr>
        <w:t>Generate sales order from reviewed contract data; support send-for-approval → pending invoice.</w:t>
      </w:r>
    </w:p>
    <w:p>
      <w:pPr>
        <w:pStyle w:val="ListBullet"/>
        <w:spacing w:after="60" w:line="264" w:lineRule="auto"/>
      </w:pPr>
      <w:r>
        <w:rPr>
          <w:rFonts w:ascii="Calibri" w:hAnsi="Calibri"/>
          <w:b/>
          <w:i w:val="0"/>
          <w:color w:val="1C1B2E"/>
          <w:sz w:val="20"/>
        </w:rPr>
        <w:t xml:space="preserve">FR-13 — </w:t>
      </w:r>
      <w:r>
        <w:rPr>
          <w:rFonts w:ascii="Calibri" w:hAnsi="Calibri"/>
          <w:b w:val="0"/>
          <w:i w:val="0"/>
          <w:color w:val="1C1B2E"/>
          <w:sz w:val="20"/>
        </w:rPr>
        <w:t>Section-scoped comments (human + AI) with resolve, @mentions, and actionable AI suggestions (Map item / Create new).</w:t>
      </w:r>
    </w:p>
    <w:p>
      <w:pPr>
        <w:pStyle w:val="ListBullet"/>
        <w:spacing w:after="60" w:line="264" w:lineRule="auto"/>
      </w:pPr>
      <w:r>
        <w:rPr>
          <w:rFonts w:ascii="Calibri" w:hAnsi="Calibri"/>
          <w:b/>
          <w:i w:val="0"/>
          <w:color w:val="1C1B2E"/>
          <w:sz w:val="20"/>
        </w:rPr>
        <w:t xml:space="preserve">FR-14 — </w:t>
      </w:r>
      <w:r>
        <w:rPr>
          <w:rFonts w:ascii="Calibri" w:hAnsi="Calibri"/>
          <w:b w:val="0"/>
          <w:i w:val="0"/>
          <w:color w:val="1C1B2E"/>
          <w:sz w:val="20"/>
        </w:rPr>
        <w:t>Contract-level Blocked / In progress status driven by review activity.</w:t>
      </w:r>
    </w:p>
    <w:p>
      <w:pPr>
        <w:pStyle w:val="Heading2"/>
      </w:pPr>
      <w:r>
        <w:t>2.3 Key UX states</w:t>
      </w:r>
    </w:p>
    <w:p>
      <w:pPr>
        <w:pStyle w:val="ListBullet"/>
        <w:spacing w:after="60" w:line="264" w:lineRule="auto"/>
      </w:pPr>
      <w:r>
        <w:rPr>
          <w:rFonts w:ascii="Calibri" w:hAnsi="Calibri"/>
          <w:b w:val="0"/>
          <w:i w:val="0"/>
          <w:color w:val="1C1B2E"/>
          <w:sz w:val="20"/>
        </w:rPr>
        <w:t>Processing: uploading → uploaded → processing → complete (error path defined).</w:t>
      </w:r>
    </w:p>
    <w:p>
      <w:pPr>
        <w:pStyle w:val="ListBullet"/>
        <w:spacing w:after="60" w:line="264" w:lineRule="auto"/>
      </w:pPr>
      <w:r>
        <w:rPr>
          <w:rFonts w:ascii="Calibri" w:hAnsi="Calibri"/>
          <w:b w:val="0"/>
          <w:i w:val="0"/>
          <w:color w:val="1C1B2E"/>
          <w:sz w:val="20"/>
        </w:rPr>
        <w:t>Customer match variants: auto-select perfect; ranked closest table; no-match defaults to Create.</w:t>
      </w:r>
    </w:p>
    <w:p>
      <w:pPr>
        <w:pStyle w:val="ListBullet"/>
        <w:spacing w:after="60" w:line="264" w:lineRule="auto"/>
      </w:pPr>
      <w:r>
        <w:rPr>
          <w:rFonts w:ascii="Calibri" w:hAnsi="Calibri"/>
          <w:b w:val="0"/>
          <w:i w:val="0"/>
          <w:color w:val="1C1B2E"/>
          <w:sz w:val="20"/>
        </w:rPr>
        <w:t>Multi-file: suppress single-file toast; show in-flight workbench rows; sequential “Extracting N/M”.</w:t>
      </w:r>
    </w:p>
    <w:p>
      <w:pPr>
        <w:pStyle w:val="ListBullet"/>
        <w:spacing w:after="60" w:line="264" w:lineRule="auto"/>
      </w:pPr>
      <w:r>
        <w:rPr>
          <w:rFonts w:ascii="Calibri" w:hAnsi="Calibri"/>
          <w:b w:val="0"/>
          <w:i w:val="0"/>
          <w:color w:val="1C1B2E"/>
          <w:sz w:val="20"/>
        </w:rPr>
        <w:t>Empty states: Approvals tab, search no-results, non-implemented Customer 360 tabs.</w:t>
      </w:r>
    </w:p>
    <w:p>
      <w:pPr>
        <w:pStyle w:val="Heading1"/>
      </w:pPr>
      <w:r>
        <w:t>3. Success Metrics, Risks &amp; Open Questions</w:t>
      </w:r>
    </w:p>
    <w:p>
      <w:pPr>
        <w:pStyle w:val="Heading2"/>
      </w:pPr>
      <w:r>
        <w:t>3.1 Success metrics</w:t>
      </w:r>
    </w:p>
    <w:tbl>
      <w:tblPr>
        <w:tblStyle w:val="TableGrid"/>
        <w:tblW w:type="auto" w:w="0"/>
        <w:tblLook w:firstColumn="1" w:firstRow="1" w:lastColumn="0" w:lastRow="0" w:noHBand="0" w:noVBand="1" w:val="04A0"/>
      </w:tblPr>
      <w:tblGrid>
        <w:gridCol w:w="3264"/>
        <w:gridCol w:w="3264"/>
        <w:gridCol w:w="3264"/>
      </w:tblGrid>
      <w:tr>
        <w:tc>
          <w:tcPr>
            <w:tcW w:type="dxa" w:w="3456"/>
            <w:shd w:fill="1C1B2E" w:val="clear"/>
          </w:tcPr>
          <w:p>
            <w:pPr>
              <w:spacing w:after="40" w:before="40"/>
            </w:pPr>
            <w:r/>
            <w:r>
              <w:rPr>
                <w:rFonts w:ascii="Calibri" w:hAnsi="Calibri"/>
                <w:b/>
                <w:i w:val="0"/>
                <w:color w:val="FFFFFF"/>
                <w:sz w:val="18"/>
              </w:rPr>
              <w:t>Metric</w:t>
            </w:r>
          </w:p>
        </w:tc>
        <w:tc>
          <w:tcPr>
            <w:tcW w:type="dxa" w:w="3168"/>
            <w:shd w:fill="1C1B2E" w:val="clear"/>
          </w:tcPr>
          <w:p>
            <w:pPr>
              <w:spacing w:after="40" w:before="40"/>
            </w:pPr>
            <w:r/>
            <w:r>
              <w:rPr>
                <w:rFonts w:ascii="Calibri" w:hAnsi="Calibri"/>
                <w:b/>
                <w:i w:val="0"/>
                <w:color w:val="FFFFFF"/>
                <w:sz w:val="18"/>
              </w:rPr>
              <w:t>Why it matters</w:t>
            </w:r>
          </w:p>
        </w:tc>
        <w:tc>
          <w:tcPr>
            <w:tcW w:type="dxa" w:w="3024"/>
            <w:shd w:fill="1C1B2E" w:val="clear"/>
          </w:tcPr>
          <w:p>
            <w:pPr>
              <w:spacing w:after="40" w:before="40"/>
            </w:pPr>
            <w:r/>
            <w:r>
              <w:rPr>
                <w:rFonts w:ascii="Calibri" w:hAnsi="Calibri"/>
                <w:b/>
                <w:i w:val="0"/>
                <w:color w:val="FFFFFF"/>
                <w:sz w:val="18"/>
              </w:rPr>
              <w:t>Target (directional)</w:t>
            </w:r>
          </w:p>
        </w:tc>
      </w:tr>
      <w:tr>
        <w:tc>
          <w:tcPr>
            <w:tcW w:type="dxa" w:w="3456"/>
          </w:tcPr>
          <w:p>
            <w:pPr>
              <w:spacing w:after="20" w:before="20"/>
            </w:pPr>
            <w:r/>
            <w:r>
              <w:rPr>
                <w:rFonts w:ascii="Calibri" w:hAnsi="Calibri"/>
                <w:b w:val="0"/>
                <w:i w:val="0"/>
                <w:color w:val="1C1B2E"/>
                <w:sz w:val="18"/>
              </w:rPr>
              <w:t>Contract → first invoice (median hrs)</w:t>
            </w:r>
          </w:p>
        </w:tc>
        <w:tc>
          <w:tcPr>
            <w:tcW w:type="dxa" w:w="3168"/>
          </w:tcPr>
          <w:p>
            <w:pPr>
              <w:spacing w:after="20" w:before="20"/>
            </w:pPr>
            <w:r/>
            <w:r>
              <w:rPr>
                <w:rFonts w:ascii="Calibri" w:hAnsi="Calibri"/>
                <w:b w:val="0"/>
                <w:i w:val="0"/>
                <w:color w:val="1C1B2E"/>
                <w:sz w:val="18"/>
              </w:rPr>
              <w:t>Core JTBD</w:t>
            </w:r>
          </w:p>
        </w:tc>
        <w:tc>
          <w:tcPr>
            <w:tcW w:type="dxa" w:w="3024"/>
          </w:tcPr>
          <w:p>
            <w:pPr>
              <w:spacing w:after="20" w:before="20"/>
            </w:pPr>
            <w:r/>
            <w:r>
              <w:rPr>
                <w:rFonts w:ascii="Calibri" w:hAnsi="Calibri"/>
                <w:b w:val="0"/>
                <w:i w:val="0"/>
                <w:color w:val="1C1B2E"/>
                <w:sz w:val="18"/>
              </w:rPr>
              <w:t>↓ 50% vs baseline manual</w:t>
            </w:r>
          </w:p>
        </w:tc>
      </w:tr>
      <w:tr>
        <w:tc>
          <w:tcPr>
            <w:tcW w:type="dxa" w:w="3456"/>
            <w:shd w:fill="F5F5F7" w:val="clear"/>
          </w:tcPr>
          <w:p>
            <w:pPr>
              <w:spacing w:after="20" w:before="20"/>
            </w:pPr>
            <w:r/>
            <w:r>
              <w:rPr>
                <w:rFonts w:ascii="Calibri" w:hAnsi="Calibri"/>
                <w:b w:val="0"/>
                <w:i w:val="0"/>
                <w:color w:val="1C1B2E"/>
                <w:sz w:val="18"/>
              </w:rPr>
              <w:t>Field acceptance without edit (%)</w:t>
            </w:r>
          </w:p>
        </w:tc>
        <w:tc>
          <w:tcPr>
            <w:tcW w:type="dxa" w:w="3168"/>
            <w:shd w:fill="F5F5F7" w:val="clear"/>
          </w:tcPr>
          <w:p>
            <w:pPr>
              <w:spacing w:after="20" w:before="20"/>
            </w:pPr>
            <w:r/>
            <w:r>
              <w:rPr>
                <w:rFonts w:ascii="Calibri" w:hAnsi="Calibri"/>
                <w:b w:val="0"/>
                <w:i w:val="0"/>
                <w:color w:val="1C1B2E"/>
                <w:sz w:val="18"/>
              </w:rPr>
              <w:t>AI extraction quality</w:t>
            </w:r>
          </w:p>
        </w:tc>
        <w:tc>
          <w:tcPr>
            <w:tcW w:type="dxa" w:w="3024"/>
            <w:shd w:fill="F5F5F7" w:val="clear"/>
          </w:tcPr>
          <w:p>
            <w:pPr>
              <w:spacing w:after="20" w:before="20"/>
            </w:pPr>
            <w:r/>
            <w:r>
              <w:rPr>
                <w:rFonts w:ascii="Calibri" w:hAnsi="Calibri"/>
                <w:b w:val="0"/>
                <w:i w:val="0"/>
                <w:color w:val="1C1B2E"/>
                <w:sz w:val="18"/>
              </w:rPr>
              <w:t>≥ 80% on clean contracts</w:t>
            </w:r>
          </w:p>
        </w:tc>
      </w:tr>
      <w:tr>
        <w:tc>
          <w:tcPr>
            <w:tcW w:type="dxa" w:w="3456"/>
          </w:tcPr>
          <w:p>
            <w:pPr>
              <w:spacing w:after="20" w:before="20"/>
            </w:pPr>
            <w:r/>
            <w:r>
              <w:rPr>
                <w:rFonts w:ascii="Calibri" w:hAnsi="Calibri"/>
                <w:b w:val="0"/>
                <w:i w:val="0"/>
                <w:color w:val="1C1B2E"/>
                <w:sz w:val="18"/>
              </w:rPr>
              <w:t>First-suggestion customer match accept (%)</w:t>
            </w:r>
          </w:p>
        </w:tc>
        <w:tc>
          <w:tcPr>
            <w:tcW w:type="dxa" w:w="3168"/>
          </w:tcPr>
          <w:p>
            <w:pPr>
              <w:spacing w:after="20" w:before="20"/>
            </w:pPr>
            <w:r/>
            <w:r>
              <w:rPr>
                <w:rFonts w:ascii="Calibri" w:hAnsi="Calibri"/>
                <w:b w:val="0"/>
                <w:i w:val="0"/>
                <w:color w:val="1C1B2E"/>
                <w:sz w:val="18"/>
              </w:rPr>
              <w:t>Matching quality</w:t>
            </w:r>
          </w:p>
        </w:tc>
        <w:tc>
          <w:tcPr>
            <w:tcW w:type="dxa" w:w="3024"/>
          </w:tcPr>
          <w:p>
            <w:pPr>
              <w:spacing w:after="20" w:before="20"/>
            </w:pPr>
            <w:r/>
            <w:r>
              <w:rPr>
                <w:rFonts w:ascii="Calibri" w:hAnsi="Calibri"/>
                <w:b w:val="0"/>
                <w:i w:val="0"/>
                <w:color w:val="1C1B2E"/>
                <w:sz w:val="18"/>
              </w:rPr>
              <w:t>≥ 70%</w:t>
            </w:r>
          </w:p>
        </w:tc>
      </w:tr>
      <w:tr>
        <w:tc>
          <w:tcPr>
            <w:tcW w:type="dxa" w:w="3456"/>
            <w:shd w:fill="F5F5F7" w:val="clear"/>
          </w:tcPr>
          <w:p>
            <w:pPr>
              <w:spacing w:after="20" w:before="20"/>
            </w:pPr>
            <w:r/>
            <w:r>
              <w:rPr>
                <w:rFonts w:ascii="Calibri" w:hAnsi="Calibri"/>
                <w:b w:val="0"/>
                <w:i w:val="0"/>
                <w:color w:val="1C1B2E"/>
                <w:sz w:val="18"/>
              </w:rPr>
              <w:t>Catalog mapping resolution rate</w:t>
            </w:r>
          </w:p>
        </w:tc>
        <w:tc>
          <w:tcPr>
            <w:tcW w:type="dxa" w:w="3168"/>
            <w:shd w:fill="F5F5F7" w:val="clear"/>
          </w:tcPr>
          <w:p>
            <w:pPr>
              <w:spacing w:after="20" w:before="20"/>
            </w:pPr>
            <w:r/>
            <w:r>
              <w:rPr>
                <w:rFonts w:ascii="Calibri" w:hAnsi="Calibri"/>
                <w:b w:val="0"/>
                <w:i w:val="0"/>
                <w:color w:val="1C1B2E"/>
                <w:sz w:val="18"/>
              </w:rPr>
              <w:t>Product attention throughput</w:t>
            </w:r>
          </w:p>
        </w:tc>
        <w:tc>
          <w:tcPr>
            <w:tcW w:type="dxa" w:w="3024"/>
            <w:shd w:fill="F5F5F7" w:val="clear"/>
          </w:tcPr>
          <w:p>
            <w:pPr>
              <w:spacing w:after="20" w:before="20"/>
            </w:pPr>
            <w:r/>
            <w:r>
              <w:rPr>
                <w:rFonts w:ascii="Calibri" w:hAnsi="Calibri"/>
                <w:b w:val="0"/>
                <w:i w:val="0"/>
                <w:color w:val="1C1B2E"/>
                <w:sz w:val="18"/>
              </w:rPr>
              <w:t>≥ 90% within SLA</w:t>
            </w:r>
          </w:p>
        </w:tc>
      </w:tr>
      <w:tr>
        <w:tc>
          <w:tcPr>
            <w:tcW w:type="dxa" w:w="3456"/>
          </w:tcPr>
          <w:p>
            <w:pPr>
              <w:spacing w:after="20" w:before="20"/>
            </w:pPr>
            <w:r/>
            <w:r>
              <w:rPr>
                <w:rFonts w:ascii="Calibri" w:hAnsi="Calibri"/>
                <w:b w:val="0"/>
                <w:i w:val="0"/>
                <w:color w:val="1C1B2E"/>
                <w:sz w:val="18"/>
              </w:rPr>
              <w:t>Blocked resolution time (median)</w:t>
            </w:r>
          </w:p>
        </w:tc>
        <w:tc>
          <w:tcPr>
            <w:tcW w:type="dxa" w:w="3168"/>
          </w:tcPr>
          <w:p>
            <w:pPr>
              <w:spacing w:after="20" w:before="20"/>
            </w:pPr>
            <w:r/>
            <w:r>
              <w:rPr>
                <w:rFonts w:ascii="Calibri" w:hAnsi="Calibri"/>
                <w:b w:val="0"/>
                <w:i w:val="0"/>
                <w:color w:val="1C1B2E"/>
                <w:sz w:val="18"/>
              </w:rPr>
              <w:t>Collaboration health</w:t>
            </w:r>
          </w:p>
        </w:tc>
        <w:tc>
          <w:tcPr>
            <w:tcW w:type="dxa" w:w="3024"/>
          </w:tcPr>
          <w:p>
            <w:pPr>
              <w:spacing w:after="20" w:before="20"/>
            </w:pPr>
            <w:r/>
            <w:r>
              <w:rPr>
                <w:rFonts w:ascii="Calibri" w:hAnsi="Calibri"/>
                <w:b w:val="0"/>
                <w:i w:val="0"/>
                <w:color w:val="1C1B2E"/>
                <w:sz w:val="18"/>
              </w:rPr>
              <w:t>Track &amp; reduce</w:t>
            </w:r>
          </w:p>
        </w:tc>
      </w:tr>
      <w:tr>
        <w:tc>
          <w:tcPr>
            <w:tcW w:type="dxa" w:w="3456"/>
            <w:shd w:fill="F5F5F7" w:val="clear"/>
          </w:tcPr>
          <w:p>
            <w:pPr>
              <w:spacing w:after="20" w:before="20"/>
            </w:pPr>
            <w:r/>
            <w:r>
              <w:rPr>
                <w:rFonts w:ascii="Calibri" w:hAnsi="Calibri"/>
                <w:b w:val="0"/>
                <w:i w:val="0"/>
                <w:color w:val="1C1B2E"/>
                <w:sz w:val="18"/>
              </w:rPr>
              <w:t>Approver turnaround time</w:t>
            </w:r>
          </w:p>
        </w:tc>
        <w:tc>
          <w:tcPr>
            <w:tcW w:type="dxa" w:w="3168"/>
            <w:shd w:fill="F5F5F7" w:val="clear"/>
          </w:tcPr>
          <w:p>
            <w:pPr>
              <w:spacing w:after="20" w:before="20"/>
            </w:pPr>
            <w:r/>
            <w:r>
              <w:rPr>
                <w:rFonts w:ascii="Calibri" w:hAnsi="Calibri"/>
                <w:b w:val="0"/>
                <w:i w:val="0"/>
                <w:color w:val="1C1B2E"/>
                <w:sz w:val="18"/>
              </w:rPr>
              <w:t>Approval utilization</w:t>
            </w:r>
          </w:p>
        </w:tc>
        <w:tc>
          <w:tcPr>
            <w:tcW w:type="dxa" w:w="3024"/>
            <w:shd w:fill="F5F5F7" w:val="clear"/>
          </w:tcPr>
          <w:p>
            <w:pPr>
              <w:spacing w:after="20" w:before="20"/>
            </w:pPr>
            <w:r/>
            <w:r>
              <w:rPr>
                <w:rFonts w:ascii="Calibri" w:hAnsi="Calibri"/>
                <w:b w:val="0"/>
                <w:i w:val="0"/>
                <w:color w:val="1C1B2E"/>
                <w:sz w:val="18"/>
              </w:rPr>
              <w:t>Track &amp; reduce</w:t>
            </w:r>
          </w:p>
        </w:tc>
      </w:tr>
    </w:tbl>
    <w:p>
      <w:pPr>
        <w:spacing w:after="80"/>
      </w:pPr>
    </w:p>
    <w:p>
      <w:pPr>
        <w:pStyle w:val="Heading2"/>
      </w:pPr>
      <w:r>
        <w:t>3.2 Dependencies &amp; risks</w:t>
      </w:r>
    </w:p>
    <w:p>
      <w:pPr>
        <w:pStyle w:val="ListBullet"/>
        <w:spacing w:after="60" w:line="264" w:lineRule="auto"/>
      </w:pPr>
      <w:r>
        <w:rPr>
          <w:rFonts w:ascii="Calibri" w:hAnsi="Calibri"/>
          <w:b/>
          <w:i w:val="0"/>
          <w:color w:val="1C1B2E"/>
          <w:sz w:val="20"/>
        </w:rPr>
        <w:t xml:space="preserve">Risk — </w:t>
      </w:r>
      <w:r>
        <w:rPr>
          <w:rFonts w:ascii="Calibri" w:hAnsi="Calibri"/>
          <w:b w:val="0"/>
          <w:i w:val="0"/>
          <w:color w:val="1C1B2E"/>
          <w:sz w:val="20"/>
        </w:rPr>
        <w:t>Extraction quality on messy multi-doc packages and non-standard schedules.</w:t>
      </w:r>
    </w:p>
    <w:p>
      <w:pPr>
        <w:pStyle w:val="ListBullet"/>
        <w:spacing w:after="60" w:line="264" w:lineRule="auto"/>
      </w:pPr>
      <w:r>
        <w:rPr>
          <w:rFonts w:ascii="Calibri" w:hAnsi="Calibri"/>
          <w:b/>
          <w:i w:val="0"/>
          <w:color w:val="1C1B2E"/>
          <w:sz w:val="20"/>
        </w:rPr>
        <w:t xml:space="preserve">Risk — </w:t>
      </w:r>
      <w:r>
        <w:rPr>
          <w:rFonts w:ascii="Calibri" w:hAnsi="Calibri"/>
          <w:b w:val="0"/>
          <w:i w:val="0"/>
          <w:color w:val="1C1B2E"/>
          <w:sz w:val="20"/>
        </w:rPr>
        <w:t>False-positive customer matches creating billing against wrong account.</w:t>
      </w:r>
    </w:p>
    <w:p>
      <w:pPr>
        <w:pStyle w:val="ListBullet"/>
        <w:spacing w:after="60" w:line="264" w:lineRule="auto"/>
      </w:pPr>
      <w:r>
        <w:rPr>
          <w:rFonts w:ascii="Calibri" w:hAnsi="Calibri"/>
          <w:b/>
          <w:i w:val="0"/>
          <w:color w:val="1C1B2E"/>
          <w:sz w:val="20"/>
        </w:rPr>
        <w:t xml:space="preserve">Risk — </w:t>
      </w:r>
      <w:r>
        <w:rPr>
          <w:rFonts w:ascii="Calibri" w:hAnsi="Calibri"/>
          <w:b w:val="0"/>
          <w:i w:val="0"/>
          <w:color w:val="1C1B2E"/>
          <w:sz w:val="20"/>
        </w:rPr>
        <w:t>Catalog gaps requiring create-SKU permissions and governance.</w:t>
      </w:r>
    </w:p>
    <w:p>
      <w:pPr>
        <w:pStyle w:val="ListBullet"/>
        <w:spacing w:after="60" w:line="264" w:lineRule="auto"/>
      </w:pPr>
      <w:r>
        <w:rPr>
          <w:rFonts w:ascii="Calibri" w:hAnsi="Calibri"/>
          <w:b/>
          <w:i w:val="0"/>
          <w:color w:val="1C1B2E"/>
          <w:sz w:val="20"/>
        </w:rPr>
        <w:t xml:space="preserve">Risk — </w:t>
      </w:r>
      <w:r>
        <w:rPr>
          <w:rFonts w:ascii="Calibri" w:hAnsi="Calibri"/>
          <w:b w:val="0"/>
          <w:i w:val="0"/>
          <w:color w:val="1C1B2E"/>
          <w:sz w:val="20"/>
        </w:rPr>
        <w:t>Unclear sequencing of Sales Order vs invoice approval may confuse operators.</w:t>
      </w:r>
    </w:p>
    <w:p>
      <w:pPr>
        <w:pStyle w:val="ListBullet"/>
        <w:spacing w:after="60" w:line="264" w:lineRule="auto"/>
      </w:pPr>
      <w:r>
        <w:rPr>
          <w:rFonts w:ascii="Calibri" w:hAnsi="Calibri"/>
          <w:b/>
          <w:i w:val="0"/>
          <w:color w:val="1C1B2E"/>
          <w:sz w:val="20"/>
        </w:rPr>
        <w:t xml:space="preserve">Depends on — </w:t>
      </w:r>
      <w:r>
        <w:rPr>
          <w:rFonts w:ascii="Calibri" w:hAnsi="Calibri"/>
          <w:b w:val="0"/>
          <w:i w:val="0"/>
          <w:color w:val="1C1B2E"/>
          <w:sz w:val="20"/>
        </w:rPr>
        <w:t>Chargebee billing APIs, customer master, product catalog, identity/permissions.</w:t>
      </w:r>
    </w:p>
    <w:p>
      <w:pPr>
        <w:pStyle w:val="Heading2"/>
      </w:pPr>
      <w:r>
        <w:t>3.3 Open questions</w:t>
      </w:r>
    </w:p>
    <w:p>
      <w:pPr>
        <w:pStyle w:val="ListBullet"/>
        <w:spacing w:after="60" w:line="264" w:lineRule="auto"/>
      </w:pPr>
      <w:r>
        <w:rPr>
          <w:rFonts w:ascii="Calibri" w:hAnsi="Calibri"/>
          <w:b w:val="0"/>
          <w:i w:val="0"/>
          <w:color w:val="1C1B2E"/>
          <w:sz w:val="20"/>
        </w:rPr>
        <w:t>Customer link timing: auto-open modal after single upload vs always queue-first for batch?</w:t>
      </w:r>
    </w:p>
    <w:p>
      <w:pPr>
        <w:pStyle w:val="ListBullet"/>
        <w:spacing w:after="60" w:line="264" w:lineRule="auto"/>
      </w:pPr>
      <w:r>
        <w:rPr>
          <w:rFonts w:ascii="Calibri" w:hAnsi="Calibri"/>
          <w:b w:val="0"/>
          <w:i w:val="0"/>
          <w:color w:val="1C1B2E"/>
          <w:sz w:val="20"/>
        </w:rPr>
        <w:t>Are “Create Sales Order” and “Send for approval” alternate paths or sequential?</w:t>
      </w:r>
    </w:p>
    <w:p>
      <w:pPr>
        <w:pStyle w:val="ListBullet"/>
        <w:spacing w:after="60" w:line="264" w:lineRule="auto"/>
      </w:pPr>
      <w:r>
        <w:rPr>
          <w:rFonts w:ascii="Calibri" w:hAnsi="Calibri"/>
          <w:b w:val="0"/>
          <w:i w:val="0"/>
          <w:color w:val="1C1B2E"/>
          <w:sz w:val="20"/>
        </w:rPr>
        <w:t>Approval scope: contract-level, invoice-level, or both—and who sits in Approvals?</w:t>
      </w:r>
    </w:p>
    <w:p>
      <w:pPr>
        <w:pStyle w:val="ListBullet"/>
        <w:spacing w:after="60" w:line="264" w:lineRule="auto"/>
      </w:pPr>
      <w:r>
        <w:rPr>
          <w:rFonts w:ascii="Calibri" w:hAnsi="Calibri"/>
          <w:b w:val="0"/>
          <w:i w:val="0"/>
          <w:color w:val="1C1B2E"/>
          <w:sz w:val="20"/>
        </w:rPr>
        <w:t>Multi-file packages: one task per file or one task per deal package?</w:t>
      </w:r>
    </w:p>
    <w:p>
      <w:pPr>
        <w:pStyle w:val="ListBullet"/>
        <w:spacing w:after="60" w:line="264" w:lineRule="auto"/>
      </w:pPr>
      <w:r>
        <w:rPr>
          <w:rFonts w:ascii="Calibri" w:hAnsi="Calibri"/>
          <w:b w:val="0"/>
          <w:i w:val="0"/>
          <w:color w:val="1C1B2E"/>
          <w:sz w:val="20"/>
        </w:rPr>
        <w:t>Does Blocked prevent SO creation / approval submission?</w:t>
      </w:r>
    </w:p>
    <w:p>
      <w:pPr>
        <w:pStyle w:val="ListBullet"/>
        <w:spacing w:after="60" w:line="264" w:lineRule="auto"/>
      </w:pPr>
      <w:r>
        <w:rPr>
          <w:rFonts w:ascii="Calibri" w:hAnsi="Calibri"/>
          <w:b w:val="0"/>
          <w:i w:val="0"/>
          <w:color w:val="1C1B2E"/>
          <w:sz w:val="20"/>
        </w:rPr>
        <w:t>Product mapping UX: inline vs modal; who can create new SKUs?</w:t>
      </w:r>
    </w:p>
    <w:p>
      <w:pPr>
        <w:pStyle w:val="ListBullet"/>
        <w:spacing w:after="60" w:line="264" w:lineRule="auto"/>
      </w:pPr>
      <w:r>
        <w:rPr>
          <w:rFonts w:ascii="Calibri" w:hAnsi="Calibri"/>
          <w:b w:val="0"/>
          <w:i w:val="0"/>
          <w:color w:val="1C1B2E"/>
          <w:sz w:val="20"/>
        </w:rPr>
        <w:t>MVP ship surface: lean ingestion page (V0) vs full Workbench + Customer 360 (V1)?</w:t>
      </w:r>
    </w:p>
    <w:p>
      <w:pPr>
        <w:pStyle w:val="ListBullet"/>
        <w:spacing w:after="60" w:line="264" w:lineRule="auto"/>
      </w:pPr>
      <w:r>
        <w:rPr>
          <w:rFonts w:ascii="Calibri" w:hAnsi="Calibri"/>
          <w:b w:val="0"/>
          <w:i w:val="0"/>
          <w:color w:val="1C1B2E"/>
          <w:sz w:val="20"/>
        </w:rPr>
        <w:t>Partial extraction / low confidence: retry, escalate, or force human fill?</w:t>
      </w:r>
    </w:p>
    <w:p>
      <w:pPr>
        <w:pStyle w:val="Heading2"/>
      </w:pPr>
      <w:r>
        <w:t>3.4 Proposed milestones</w:t>
      </w:r>
    </w:p>
    <w:tbl>
      <w:tblPr>
        <w:tblStyle w:val="TableGrid"/>
        <w:tblW w:type="auto" w:w="0"/>
        <w:tblLook w:firstColumn="1" w:firstRow="1" w:lastColumn="0" w:lastRow="0" w:noHBand="0" w:noVBand="1" w:val="04A0"/>
      </w:tblPr>
      <w:tblGrid>
        <w:gridCol w:w="4896"/>
        <w:gridCol w:w="4896"/>
      </w:tblGrid>
      <w:tr>
        <w:tc>
          <w:tcPr>
            <w:tcW w:type="dxa" w:w="2880"/>
            <w:shd w:fill="1C1B2E" w:val="clear"/>
          </w:tcPr>
          <w:p>
            <w:pPr>
              <w:spacing w:after="40" w:before="40"/>
            </w:pPr>
            <w:r/>
            <w:r>
              <w:rPr>
                <w:rFonts w:ascii="Calibri" w:hAnsi="Calibri"/>
                <w:b/>
                <w:i w:val="0"/>
                <w:color w:val="FFFFFF"/>
                <w:sz w:val="18"/>
              </w:rPr>
              <w:t>Milestone</w:t>
            </w:r>
          </w:p>
        </w:tc>
        <w:tc>
          <w:tcPr>
            <w:tcW w:type="dxa" w:w="6768"/>
            <w:shd w:fill="1C1B2E" w:val="clear"/>
          </w:tcPr>
          <w:p>
            <w:pPr>
              <w:spacing w:after="40" w:before="40"/>
            </w:pPr>
            <w:r/>
            <w:r>
              <w:rPr>
                <w:rFonts w:ascii="Calibri" w:hAnsi="Calibri"/>
                <w:b/>
                <w:i w:val="0"/>
                <w:color w:val="FFFFFF"/>
                <w:sz w:val="18"/>
              </w:rPr>
              <w:t>Scope</w:t>
            </w:r>
          </w:p>
        </w:tc>
      </w:tr>
      <w:tr>
        <w:tc>
          <w:tcPr>
            <w:tcW w:type="dxa" w:w="2880"/>
          </w:tcPr>
          <w:p>
            <w:pPr>
              <w:spacing w:after="20" w:before="20"/>
            </w:pPr>
            <w:r/>
            <w:r>
              <w:rPr>
                <w:rFonts w:ascii="Calibri" w:hAnsi="Calibri"/>
                <w:b w:val="0"/>
                <w:i w:val="0"/>
                <w:color w:val="1C1B2E"/>
                <w:sz w:val="18"/>
              </w:rPr>
              <w:t>M1 — Ingestion MVP</w:t>
            </w:r>
          </w:p>
        </w:tc>
        <w:tc>
          <w:tcPr>
            <w:tcW w:type="dxa" w:w="6768"/>
          </w:tcPr>
          <w:p>
            <w:pPr>
              <w:spacing w:after="20" w:before="20"/>
            </w:pPr>
            <w:r/>
            <w:r>
              <w:rPr>
                <w:rFonts w:ascii="Calibri" w:hAnsi="Calibri"/>
                <w:b w:val="0"/>
                <w:i w:val="0"/>
                <w:color w:val="1C1B2E"/>
                <w:sz w:val="18"/>
              </w:rPr>
              <w:t>Upload, extract, review sections, attention flags, field edit + audit</w:t>
            </w:r>
          </w:p>
        </w:tc>
      </w:tr>
      <w:tr>
        <w:tc>
          <w:tcPr>
            <w:tcW w:type="dxa" w:w="2880"/>
            <w:shd w:fill="F5F5F7" w:val="clear"/>
          </w:tcPr>
          <w:p>
            <w:pPr>
              <w:spacing w:after="20" w:before="20"/>
            </w:pPr>
            <w:r/>
            <w:r>
              <w:rPr>
                <w:rFonts w:ascii="Calibri" w:hAnsi="Calibri"/>
                <w:b w:val="0"/>
                <w:i w:val="0"/>
                <w:color w:val="1C1B2E"/>
                <w:sz w:val="18"/>
              </w:rPr>
              <w:t>M2 — Customer resolution</w:t>
            </w:r>
          </w:p>
        </w:tc>
        <w:tc>
          <w:tcPr>
            <w:tcW w:type="dxa" w:w="6768"/>
            <w:shd w:fill="F5F5F7" w:val="clear"/>
          </w:tcPr>
          <w:p>
            <w:pPr>
              <w:spacing w:after="20" w:before="20"/>
            </w:pPr>
            <w:r/>
            <w:r>
              <w:rPr>
                <w:rFonts w:ascii="Calibri" w:hAnsi="Calibri"/>
                <w:b w:val="0"/>
                <w:i w:val="0"/>
                <w:color w:val="1C1B2E"/>
                <w:sz w:val="18"/>
              </w:rPr>
              <w:t>Match variants, create customer, re-link drawer, search directory</w:t>
            </w:r>
          </w:p>
        </w:tc>
      </w:tr>
      <w:tr>
        <w:tc>
          <w:tcPr>
            <w:tcW w:type="dxa" w:w="2880"/>
          </w:tcPr>
          <w:p>
            <w:pPr>
              <w:spacing w:after="20" w:before="20"/>
            </w:pPr>
            <w:r/>
            <w:r>
              <w:rPr>
                <w:rFonts w:ascii="Calibri" w:hAnsi="Calibri"/>
                <w:b w:val="0"/>
                <w:i w:val="0"/>
                <w:color w:val="1C1B2E"/>
                <w:sz w:val="18"/>
              </w:rPr>
              <w:t>M3 — Downstream billing</w:t>
            </w:r>
          </w:p>
        </w:tc>
        <w:tc>
          <w:tcPr>
            <w:tcW w:type="dxa" w:w="6768"/>
          </w:tcPr>
          <w:p>
            <w:pPr>
              <w:spacing w:after="20" w:before="20"/>
            </w:pPr>
            <w:r/>
            <w:r>
              <w:rPr>
                <w:rFonts w:ascii="Calibri" w:hAnsi="Calibri"/>
                <w:b w:val="0"/>
                <w:i w:val="0"/>
                <w:color w:val="1C1B2E"/>
                <w:sz w:val="18"/>
              </w:rPr>
              <w:t>Sales order creation, invoice preview, pending approval queue</w:t>
            </w:r>
          </w:p>
        </w:tc>
      </w:tr>
      <w:tr>
        <w:tc>
          <w:tcPr>
            <w:tcW w:type="dxa" w:w="2880"/>
            <w:shd w:fill="F5F5F7" w:val="clear"/>
          </w:tcPr>
          <w:p>
            <w:pPr>
              <w:spacing w:after="20" w:before="20"/>
            </w:pPr>
            <w:r/>
            <w:r>
              <w:rPr>
                <w:rFonts w:ascii="Calibri" w:hAnsi="Calibri"/>
                <w:b w:val="0"/>
                <w:i w:val="0"/>
                <w:color w:val="1C1B2E"/>
                <w:sz w:val="18"/>
              </w:rPr>
              <w:t>M4 — Collaboration</w:t>
            </w:r>
          </w:p>
        </w:tc>
        <w:tc>
          <w:tcPr>
            <w:tcW w:type="dxa" w:w="6768"/>
            <w:shd w:fill="F5F5F7" w:val="clear"/>
          </w:tcPr>
          <w:p>
            <w:pPr>
              <w:spacing w:after="20" w:before="20"/>
            </w:pPr>
            <w:r/>
            <w:r>
              <w:rPr>
                <w:rFonts w:ascii="Calibri" w:hAnsi="Calibri"/>
                <w:b w:val="0"/>
                <w:i w:val="0"/>
                <w:color w:val="1C1B2E"/>
                <w:sz w:val="18"/>
              </w:rPr>
              <w:t>Approvals tab live, notifications, blocked workflow rules</w:t>
            </w:r>
          </w:p>
        </w:tc>
      </w:tr>
    </w:tbl>
    <w:p>
      <w:pPr>
        <w:spacing w:after="80"/>
      </w:pPr>
    </w:p>
    <w:p>
      <w:pPr>
        <w:spacing w:after="0" w:before="160" w:line="269" w:lineRule="auto"/>
      </w:pPr>
      <w:r>
        <w:rPr>
          <w:rFonts w:ascii="Calibri" w:hAnsi="Calibri"/>
          <w:b w:val="0"/>
          <w:i/>
          <w:color w:val="1C1B2E"/>
          <w:sz w:val="16"/>
        </w:rPr>
        <w:t>Document owner: Product  ·  Source: Apex SLG prototype (contract ingestion flow)  ·  Next: validate open questions with Deal Desk + Finance stakeholders.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C1B2E"/>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C1B2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C1B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