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MSCAST</w:t>
      </w:r>
      <w:r>
        <w:t xml:space="preserve"> </w:t>
      </w:r>
      <w:r>
        <w:t xml:space="preserve">ERP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0" w:name="mscast-erp---implementation-report"/>
    <w:p>
      <w:pPr>
        <w:pStyle w:val="Heading1"/>
      </w:pPr>
      <w:r>
        <w:t xml:space="preserve">MSCAST ERP - implementation report</w:t>
      </w:r>
    </w:p>
    <w:p>
      <w:pPr>
        <w:pStyle w:val="FirstParagraph"/>
      </w:pPr>
      <w:r>
        <w:rPr>
          <w:bCs/>
          <w:b/>
        </w:rPr>
        <w:t xml:space="preserve">Version 2.0 · 21 September 2026</w:t>
      </w:r>
      <w:r>
        <w:t xml:space="preserve"> </w:t>
      </w:r>
      <w:r>
        <w:t xml:space="preserve">· executive summary of what exists today and where it is.</w:t>
      </w:r>
    </w:p>
    <w:bookmarkStart w:id="20" w:name="headline"/>
    <w:p>
      <w:pPr>
        <w:pStyle w:val="Heading2"/>
      </w:pPr>
      <w:r>
        <w:t xml:space="preserve">Headline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97 requirements</w:t>
      </w:r>
      <w:r>
        <w:t xml:space="preserve"> </w:t>
      </w:r>
      <w:r>
        <w:t xml:space="preserve">in MSCAST’s requirement document are implemented. Evidence per requirement: doc 03 (Requirements Traceability),</w:t>
      </w:r>
      <w:r>
        <w:t xml:space="preserve"> </w:t>
      </w:r>
      <w:r>
        <w:t xml:space="preserve">‘</w:t>
      </w:r>
      <w:r>
        <w:t xml:space="preserve">Full matrix</w:t>
      </w:r>
      <w:r>
        <w:t xml:space="preserve">’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42 automated build checks.</w:t>
      </w:r>
      <w:r>
        <w:t xml:space="preserve"> </w:t>
      </w:r>
      <w:r>
        <w:t xml:space="preserve">DEV: 40 pass, 2 warn, 0 fail. Live POC: the same. Full list: POC README, section</w:t>
      </w:r>
      <w:r>
        <w:t xml:space="preserve"> </w:t>
      </w:r>
      <w:r>
        <w:t xml:space="preserve">‘</w:t>
      </w:r>
      <w:r>
        <w:t xml:space="preserve">Build checks</w:t>
      </w:r>
      <w:r>
        <w:t xml:space="preserve">’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Six requirements rest on assumptions</w:t>
      </w:r>
      <w:r>
        <w:t xml:space="preserve"> </w:t>
      </w:r>
      <w:r>
        <w:t xml:space="preserve">that MSCAST or the CA must confirm: doc 03,</w:t>
      </w:r>
      <w:r>
        <w:t xml:space="preserve"> </w:t>
      </w:r>
      <w:r>
        <w:t xml:space="preserve">‘</w:t>
      </w:r>
      <w:r>
        <w:t xml:space="preserve">Assumptions carried</w:t>
      </w:r>
      <w:r>
        <w:t xml:space="preserve">’</w:t>
      </w:r>
      <w:r>
        <w:t xml:space="preserve">. Each assumption is also written into the narration of the affected vouchers in the system.</w:t>
      </w:r>
    </w:p>
    <w:bookmarkEnd w:id="20"/>
    <w:bookmarkStart w:id="21" w:name="where-things-are"/>
    <w:p>
      <w:pPr>
        <w:pStyle w:val="Heading2"/>
      </w:pPr>
      <w:r>
        <w:t xml:space="preserve">Where things are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13"/>
        <w:gridCol w:w="5306"/>
      </w:tblGrid>
      <w:tr>
        <w:tc>
          <w:tcPr/>
          <w:p>
            <w:pPr>
              <w:pStyle w:val="Compact"/>
              <w:jc w:val="left"/>
            </w:pPr>
            <w:r>
              <w:t xml:space="preserve">Live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https://mscast.carobar.net. MSCAST staff are trying it with their own logins. Nobody changes it without the owner’s say-so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https://mscastdev.carobar.net. Separate copy (own database, same image) with the full demo cast; used for demos, screenshots and development. Orange</w:t>
            </w:r>
            <w:r>
              <w:t xml:space="preserve"> </w:t>
            </w:r>
            <w:r>
              <w:t xml:space="preserve">“</w:t>
            </w:r>
            <w:r>
              <w:t xml:space="preserve">DEV INSTANCE</w:t>
            </w:r>
            <w:r>
              <w:t xml:space="preserve">”</w:t>
            </w:r>
            <w:r>
              <w:t xml:space="preserve"> </w:t>
            </w:r>
            <w:r>
              <w:t xml:space="preserve">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github.com/cb1-tech/mscast</w:t>
            </w:r>
            <w:r>
              <w:t xml:space="preserve"> </w:t>
            </w:r>
            <w:r>
              <w:t xml:space="preserve">(held by the owner), release</w:t>
            </w:r>
            <w:r>
              <w:t xml:space="preserve"> </w:t>
            </w:r>
            <w:r>
              <w:rPr>
                <w:rStyle w:val="VerbatimChar"/>
              </w:rPr>
              <w:t xml:space="preserve">v0.9.0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Installable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mscast_erp</w:t>
            </w:r>
            <w:r>
              <w:t xml:space="preserve"> </w:t>
            </w:r>
            <w:r>
              <w:t xml:space="preserve">in that repository: every MSCAST doctype, report, print format, workflow and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mscast/erpnext:v16-app</w:t>
            </w:r>
            <w:r>
              <w:t xml:space="preserve">, ERPNext/Frappe v16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seed/102_test_harness.py</w:t>
            </w:r>
            <w:r>
              <w:t xml:space="preserve">; how to run it: POC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new-mscast-site.sh</w:t>
            </w:r>
            <w:r>
              <w:t xml:space="preserve">; must pass 19 system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ERP-MSCAST project and in</w:t>
            </w:r>
            <w:r>
              <w:t xml:space="preserve"> </w:t>
            </w:r>
            <w:r>
              <w:rPr>
                <w:rStyle w:val="VerbatimChar"/>
              </w:rPr>
              <w:t xml:space="preserve">ERP Plan\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 MSCAST\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Internal\</w:t>
            </w:r>
            <w:r>
              <w:t xml:space="preserve">; see</w:t>
            </w:r>
            <w:r>
              <w:t xml:space="preserve"> </w:t>
            </w:r>
            <w:r>
              <w:rPr>
                <w:rStyle w:val="VerbatimChar"/>
              </w:rPr>
              <w:t xml:space="preserve">ERP Plan\README.md</w:t>
            </w:r>
            <w:r>
              <w:t xml:space="preserve">)</w:t>
            </w:r>
          </w:p>
        </w:tc>
      </w:tr>
    </w:tbl>
    <w:bookmarkEnd w:id="21"/>
    <w:bookmarkStart w:id="26" w:name="what-was-built"/>
    <w:p>
      <w:pPr>
        <w:pStyle w:val="Heading2"/>
      </w:pPr>
      <w:r>
        <w:t xml:space="preserve">What was built</w:t>
      </w:r>
    </w:p>
    <w:bookmarkStart w:id="22" w:name="accounting-and-statutory"/>
    <w:p>
      <w:pPr>
        <w:pStyle w:val="Heading3"/>
      </w:pPr>
      <w:r>
        <w:t xml:space="preserve">Accounting and statutory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6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III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vertical format with note references; trade payables split MSME/other; advances shown gross.</w:t>
            </w:r>
            <w:r>
              <w:t xml:space="preserve"> </w:t>
            </w:r>
            <w:r>
              <w:rPr>
                <w:bCs/>
                <w:b/>
              </w:rPr>
              <w:t xml:space="preserve">Balances to the rupee</w:t>
            </w:r>
            <w:r>
              <w:t xml:space="preserve"> </w:t>
            </w:r>
            <w:r>
              <w:t xml:space="preserve">(₹1,79,02,695 both sides on the DEV data), nothing unclassified. Totals come from the ledger; presentation lines carry an explicit</w:t>
            </w:r>
            <w:r>
              <w:t xml:space="preserve"> </w:t>
            </w:r>
            <w:r>
              <w:rPr>
                <w:iCs/>
                <w:i/>
              </w:rPr>
              <w:t xml:space="preserve">unclassified</w:t>
            </w:r>
            <w:r>
              <w:t xml:space="preserve"> </w:t>
            </w:r>
            <w:r>
              <w:t xml:space="preserve">reconciling line so nothing can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 III P&amp;L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changes in inventories and WIP, employee benefits, finance costs, depreciation, other expenses, current and deferred tax, EPS. Profit</w:t>
            </w:r>
            <w:r>
              <w:t xml:space="preserve"> </w:t>
            </w:r>
            <w:r>
              <w:rPr>
                <w:bCs/>
                <w:b/>
              </w:rPr>
              <w:t xml:space="preserve">ties exactly</w:t>
            </w:r>
            <w:r>
              <w:t xml:space="preserve"> </w:t>
            </w:r>
            <w:r>
              <w:t xml:space="preserve">to the ledger surplus. Expense filters are constrained by</w:t>
            </w:r>
            <w:r>
              <w:t xml:space="preserve"> </w:t>
            </w:r>
            <w:r>
              <w:rPr>
                <w:rStyle w:val="VerbatimChar"/>
              </w:rPr>
              <w:t xml:space="preserve">root_type</w:t>
            </w:r>
            <w:r>
              <w:t xml:space="preserve">. Opening stock is posted to</w:t>
            </w:r>
            <w:r>
              <w:t xml:space="preserve"> </w:t>
            </w:r>
            <w:r>
              <w:rPr>
                <w:rStyle w:val="VerbatimChar"/>
              </w:rPr>
              <w:t xml:space="preserve">1910 Temporary Opening</w:t>
            </w:r>
            <w:r>
              <w:t xml:space="preserve"> </w:t>
            </w:r>
            <w:r>
              <w:t xml:space="preserve">(₹24,74,400), not to an expense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amendment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receivable ageing, trade payable ageing split MSME/others, and the</w:t>
            </w:r>
            <w:r>
              <w:t xml:space="preserve"> </w:t>
            </w:r>
            <w:r>
              <w:rPr>
                <w:bCs/>
                <w:b/>
              </w:rPr>
              <w:t xml:space="preserve">eleven prescribed ratios</w:t>
            </w:r>
            <w:r>
              <w:t xml:space="preserve">; immaterial denominators show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. Receivables are party-wise gross: debit-balance parties are receivables, credit-balance parties are advances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 to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notes: MSMED s.22 disclosure (note 6), related party (AS 18), contingent liabilities from the live bank guarantees, CWIP ageing, EPS basis, audit-trail note, and the Schedule III negative disclosures (no benami, no struck-off dealings, no crypto, CSR not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tax ₹15,32,737 at 25.168% (s.115BAA) on profit before tax of ₹60,90,022; deferred tax: DTA on the gratuity provision (s.43B, allowed on payment) against DTL on the depreciation timing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WIP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₹26,70,766 carried; report shows the build-up: bought-out billed + material issued + engineering hours at ₹450/hr + 12% works overhead, less the cost of the billed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GST on closing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by warehouse with HSN, value, embedded ITC and the treatment note; stock at the job worker (ITC-04, one-year return rule) shown apart from stock on own premises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₹1,00,000 posted by opening entry and shown on the balance sheet. Shareholders held as unnamed Promoter A/B/C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 opening entry ₹8,45,000, excluding the test bench, whose cost is in CWIP. Plant-and-machinery head exists; ₹6,05,000 reclassified to it from Software; asset categories point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guarantees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dates set; the ABG expires 29 October 2026, so its 30-day expiry alert fires on 29 September 2026</w:t>
            </w:r>
          </w:p>
        </w:tc>
      </w:tr>
    </w:tbl>
    <w:bookmarkEnd w:id="22"/>
    <w:bookmarkStart w:id="23" w:name="operations"/>
    <w:p>
      <w:pPr>
        <w:pStyle w:val="Heading3"/>
      </w:pPr>
      <w:r>
        <w:t xml:space="preserve">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Billing and dispatch schedule</w:t>
      </w:r>
      <w:r>
        <w:t xml:space="preserve"> </w:t>
      </w:r>
      <w:r>
        <w:t xml:space="preserve">on the Project: 9 milestones across two projects with planned dispatch date, billing %, value, status and an action note for Procurement, plus a report.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Payment receipt print</w:t>
      </w:r>
      <w:r>
        <w:t xml:space="preserve"> </w:t>
      </w:r>
      <w:r>
        <w:t xml:space="preserve">with amount in words and the allocation 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Finance scaling report:</w:t>
      </w:r>
      <w:r>
        <w:t xml:space="preserve"> </w:t>
      </w:r>
      <w:r>
        <w:t xml:space="preserve">order book and pipeline against scheduled collections, committed outflows, cash and the ₹2.5 Cr HDFC limit, with the projected 90-day headroom.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Biometric attendance:</w:t>
      </w:r>
      <w:r>
        <w:t xml:space="preserve"> </w:t>
      </w:r>
      <w:r>
        <w:t xml:space="preserve">a shift with auto-attendance; 72 punches from device</w:t>
      </w:r>
      <w:r>
        <w:t xml:space="preserve"> </w:t>
      </w:r>
      <w:r>
        <w:rPr>
          <w:rStyle w:val="VerbatimChar"/>
        </w:rPr>
        <w:t xml:space="preserve">MSCAST-DOOR-01</w:t>
      </w:r>
      <w:r>
        <w:t xml:space="preserve"> </w:t>
      </w:r>
      <w:r>
        <w:t xml:space="preserve">converted into Attendance, with an audit report reconciling punches to attendance (on DEV; deleted on the Live POC). The scheduled pull is off; attendance is entered by hand until it is enabled and proven.</w:t>
      </w:r>
    </w:p>
    <w:bookmarkEnd w:id="23"/>
    <w:bookmarkStart w:id="24" w:name="controls"/>
    <w:p>
      <w:pPr>
        <w:pStyle w:val="Heading3"/>
      </w:pPr>
      <w:r>
        <w:t xml:space="preserve">Controls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Five workflows:</w:t>
      </w:r>
      <w:r>
        <w:t xml:space="preserve"> </w:t>
      </w:r>
      <w:r>
        <w:t xml:space="preserve">PCC approval, purchase order approval, BRM certification, project kick-off, drawing release.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Approval authority:</w:t>
      </w:r>
      <w:r>
        <w:t xml:space="preserve"> </w:t>
      </w:r>
      <w:r>
        <w:t xml:space="preserve">a director approves PCCs, purchase orders and kick-offs, and certifies BRMs. A</w:t>
      </w:r>
      <w:r>
        <w:t xml:space="preserve"> </w:t>
      </w:r>
      <w:r>
        <w:rPr>
          <w:rStyle w:val="VerbatimChar"/>
        </w:rPr>
        <w:t xml:space="preserve">Purchase User</w:t>
      </w:r>
      <w:r>
        <w:t xml:space="preserve"> </w:t>
      </w:r>
      <w:r>
        <w:t xml:space="preserve">sends a PO for approval; nobody holds both roles, so every PO passes through two people.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Kick-off</w:t>
      </w:r>
      <w:r>
        <w:t xml:space="preserve"> </w:t>
      </w:r>
      <w:r>
        <w:t xml:space="preserve">cannot be approved while the PO checklist is incomplete. A</w:t>
      </w:r>
      <w:r>
        <w:t xml:space="preserve"> </w:t>
      </w:r>
      <w:r>
        <w:rPr>
          <w:bCs/>
          <w:b/>
        </w:rPr>
        <w:t xml:space="preserve">drawing</w:t>
      </w:r>
      <w:r>
        <w:t xml:space="preserve"> </w:t>
      </w:r>
      <w:r>
        <w:t xml:space="preserve">cannot be released for manufacture unless the customer approved it; only a Projects Manager releases.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BRM payment block:</w:t>
      </w:r>
      <w:r>
        <w:t xml:space="preserve"> </w:t>
      </w:r>
      <w:r>
        <w:t xml:space="preserve">no certified BRM, no supplier payment, on Payment Entry and Journal Entry, for everyone. It sits in application code (</w:t>
      </w:r>
      <w:r>
        <w:rPr>
          <w:rStyle w:val="VerbatimChar"/>
        </w:rPr>
        <w:t xml:space="preserve">mscast_erp.controls.brm_payment</w:t>
      </w:r>
      <w:r>
        <w:t xml:space="preserve">) and reads the same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the BRM workflow drives. Per-supplier</w:t>
      </w:r>
      <w:r>
        <w:t xml:space="preserve"> </w:t>
      </w:r>
      <w:r>
        <w:rPr>
          <w:iCs/>
          <w:i/>
        </w:rPr>
        <w:t xml:space="preserve">Exempt from BRM certification</w:t>
      </w:r>
      <w:r>
        <w:t xml:space="preserve"> </w:t>
      </w:r>
      <w:r>
        <w:t xml:space="preserve">flag for utilities, rent and statutory bills. A BRM cannot be certified unless its four checks (qty, rate, inspection, delivery) are ticked.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Known limitation:</w:t>
      </w:r>
      <w:r>
        <w:t xml:space="preserve"> </w:t>
      </w:r>
      <w:r>
        <w:t xml:space="preserve">a director can create a BRM, certify it and mark it paid, alone (build check T6g). MSCAST decides: Q21 in doc 03.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Users:</w:t>
      </w:r>
      <w:r>
        <w:t xml:space="preserve"> </w:t>
      </w:r>
      <w:r>
        <w:t xml:space="preserve">DEV has 13 staff logins (12 named people plus the site administrator) with a documented approval matrix (doc 09, Role Cards). The site administrator holds</w:t>
      </w:r>
      <w:r>
        <w:t xml:space="preserve"> </w:t>
      </w:r>
      <w:r>
        <w:rPr>
          <w:rStyle w:val="VerbatimChar"/>
        </w:rPr>
        <w:t xml:space="preserve">System Manager</w:t>
      </w:r>
      <w:r>
        <w:t xml:space="preserve"> </w:t>
      </w:r>
      <w:r>
        <w:t xml:space="preserve">only; a fresh install recreates the setup-wizard administrator with many roles, so cut it back at go-live (doc 08).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Google Chat webhooks</w:t>
      </w:r>
      <w:r>
        <w:t xml:space="preserve"> </w:t>
      </w:r>
      <w:r>
        <w:t xml:space="preserve">for transactions above ₹5 L: configured, disabled until MSCAST gives the space URL.</w:t>
      </w:r>
    </w:p>
    <w:bookmarkEnd w:id="24"/>
    <w:bookmarkStart w:id="25" w:name="automation"/>
    <w:p>
      <w:pPr>
        <w:pStyle w:val="Heading3"/>
      </w:pPr>
      <w:r>
        <w:t xml:space="preserve">Automation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Overnight exception sweep</w:t>
      </w:r>
      <w:r>
        <w:t xml:space="preserve"> </w:t>
      </w:r>
      <w:r>
        <w:t xml:space="preserve">at 06:00 IST: 16 rules.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Morning mails:</w:t>
      </w:r>
      <w:r>
        <w:t xml:space="preserve"> </w:t>
      </w:r>
      <w:r>
        <w:t xml:space="preserve">08:30 IST daily summary, dispatch schedule and project MIS (to autoelectron.jp@gmail.com); 08:35 IST AI briefing (to waseemraj@mcast.co.in on the Live POC, by the owner’s decision). The briefing runs through a local model router on the build laptop, so the POC needs no Google Cloud project (decision D5); a server needs a hosted endpoint (a configuration change, not a build).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Nightly job:</w:t>
      </w:r>
      <w:r>
        <w:t xml:space="preserve"> </w:t>
      </w:r>
      <w:r>
        <w:t xml:space="preserve">Windows task</w:t>
      </w:r>
      <w:r>
        <w:t xml:space="preserve"> </w:t>
      </w:r>
      <w:r>
        <w:t xml:space="preserve">“</w:t>
      </w:r>
      <w:r>
        <w:t xml:space="preserve">MSCAST nightly backup</w:t>
      </w:r>
      <w:r>
        <w:t xml:space="preserve">”</w:t>
      </w:r>
      <w:r>
        <w:t xml:space="preserve"> </w:t>
      </w:r>
      <w:r>
        <w:t xml:space="preserve">at 02:30 JST runs the backup and all build checks and emails autoelectron.jp@gmail.com on failure. A watchdog at 09:00 IST emails if the nightly job has not run in 26 hours. Backup alerts are off on DEV.</w:t>
      </w:r>
    </w:p>
    <w:bookmarkEnd w:id="25"/>
    <w:bookmarkEnd w:id="26"/>
    <w:bookmarkStart w:id="27" w:name="Xcab9418e046780854264462ef1449ec6a4a5ffc"/>
    <w:p>
      <w:pPr>
        <w:pStyle w:val="Heading2"/>
      </w:pPr>
      <w:r>
        <w:t xml:space="preserve">Rules that follow from how the system is built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only from a tagged release</w:t>
      </w:r>
      <w:r>
        <w:t xml:space="preserve">, never a copied folder, and read the post-deploy verification output. Installing or upgrading the app overwrites configuration from the package (doc 08, Production Cutover Runbook).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Three settings are outside the database</w:t>
      </w:r>
      <w:r>
        <w:t xml:space="preserve"> </w:t>
      </w:r>
      <w:r>
        <w:t xml:space="preserve">and a restore does not carry them: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restore-key.sh</w:t>
      </w:r>
      <w:r>
        <w:t xml:space="preserve"> </w:t>
      </w:r>
      <w:r>
        <w:t xml:space="preserve">puts it back),</w:t>
      </w:r>
      <w:r>
        <w:t xml:space="preserve"> </w:t>
      </w:r>
      <w:r>
        <w:rPr>
          <w:rStyle w:val="VerbatimChar"/>
        </w:rPr>
        <w:t xml:space="preserve">server_script_enabled</w:t>
      </w:r>
      <w:r>
        <w:t xml:space="preserve"> </w:t>
      </w:r>
      <w:r>
        <w:t xml:space="preserve">(bench-wide),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.</w:t>
      </w:r>
    </w:p>
    <w:bookmarkEnd w:id="27"/>
    <w:bookmarkStart w:id="28" w:name="still-outstanding"/>
    <w:p>
      <w:pPr>
        <w:pStyle w:val="Heading2"/>
      </w:pPr>
      <w:r>
        <w:t xml:space="preserve">Still outstanding</w:t>
      </w:r>
    </w:p>
    <w:p>
      <w:pPr>
        <w:pStyle w:val="FirstParagraph"/>
      </w:pPr>
      <w:r>
        <w:t xml:space="preserve">Nothing on the requirement list. The gap between the POC and production (Tally migration, hosting, open questions for MSCAST and the CA, parked items): doc 03,</w:t>
      </w:r>
      <w:r>
        <w:t xml:space="preserve"> </w:t>
      </w:r>
      <w:r>
        <w:t xml:space="preserve">‘</w:t>
      </w:r>
      <w:r>
        <w:t xml:space="preserve">What still stands between this and production</w:t>
      </w:r>
      <w:r>
        <w:t xml:space="preserve">’</w:t>
      </w:r>
      <w:r>
        <w:t xml:space="preserve">.</w:t>
      </w:r>
    </w:p>
    <w:bookmarkEnd w:id="28"/>
    <w:bookmarkStart w:id="29" w:name="suggested-first-fifteen-minutes"/>
    <w:p>
      <w:pPr>
        <w:pStyle w:val="Heading2"/>
      </w:pPr>
      <w:r>
        <w:t xml:space="preserve">Suggested first fifteen minutes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Balance Sheet (Schedule III)</w:t>
      </w:r>
      <w:r>
        <w:t xml:space="preserve"> </w:t>
      </w:r>
      <w:r>
        <w:t xml:space="preserve">and confirm it balances.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Notes to Accounts</w:t>
      </w:r>
      <w:r>
        <w:t xml:space="preserve">; note 6 is the MSMED disclosure the auditor will ask for first.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MSCAST Schedule III - Ratios</w:t>
      </w:r>
      <w:r>
        <w:t xml:space="preserve"> </w:t>
      </w:r>
      <w:r>
        <w:t xml:space="preserve">and see which show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and why.</w:t>
      </w:r>
    </w:p>
    <w:p>
      <w:pPr>
        <w:numPr>
          <w:ilvl w:val="0"/>
          <w:numId w:val="1006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and see the approval workflow bar.</w:t>
      </w:r>
    </w:p>
    <w:p>
      <w:pPr>
        <w:numPr>
          <w:ilvl w:val="0"/>
          <w:numId w:val="1006"/>
        </w:numPr>
        <w:pStyle w:val="Compact"/>
      </w:pPr>
      <w:r>
        <w:t xml:space="preserve">Try to pay an uncertified supplier bill; the BRM block refuses it.</w:t>
      </w:r>
    </w:p>
    <w:p>
      <w:pPr>
        <w:numPr>
          <w:ilvl w:val="0"/>
          <w:numId w:val="1006"/>
        </w:numPr>
        <w:pStyle w:val="Compact"/>
      </w:pPr>
      <w:r>
        <w:t xml:space="preserve">Open a</w:t>
      </w:r>
      <w:r>
        <w:t xml:space="preserve"> </w:t>
      </w:r>
      <w:r>
        <w:rPr>
          <w:bCs/>
          <w:b/>
        </w:rPr>
        <w:t xml:space="preserve">Drawing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Draft</w:t>
      </w:r>
      <w:r>
        <w:t xml:space="preserve"> </w:t>
      </w:r>
      <w:r>
        <w:t xml:space="preserve">and try to release it for manufacture; the system does not offer it.</w:t>
      </w:r>
    </w:p>
    <w:p>
      <w:pPr>
        <w:numPr>
          <w:ilvl w:val="0"/>
          <w:numId w:val="1006"/>
        </w:numPr>
        <w:pStyle w:val="Compact"/>
      </w:pPr>
      <w:r>
        <w:t xml:space="preserve">Run the build checks: 42 checks,</w:t>
      </w:r>
      <w:r>
        <w:t xml:space="preserve"> </w:t>
      </w:r>
      <w:r>
        <w:rPr>
          <w:bCs/>
          <w:b/>
        </w:rPr>
        <w:t xml:space="preserve">40 pass, 2 expected warnings, 0 failures</w:t>
      </w:r>
      <w:r>
        <w:t xml:space="preserve"> </w:t>
      </w:r>
      <w:r>
        <w:t xml:space="preserve">on DEV. Read what the two warnings say (T6e, T6g; Q20, Q21 in doc 03).</w:t>
      </w:r>
    </w:p>
    <w:p>
      <w:pPr>
        <w:pStyle w:val="FirstParagraph"/>
      </w:pPr>
      <w:r>
        <w:t xml:space="preserve">The full demo route: doc 12 (Demo Run-sheet).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MSCAST ERP — Implementation Report</dc:title>
  <dc:creator/>
  <cp:keywords/>
  <dcterms:created xsi:type="dcterms:W3CDTF">2026-09-21T13:47:49Z</dcterms:created>
  <dcterms:modified xsi:type="dcterms:W3CDTF">2026-09-21T13:47:49Z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