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MSCAST</w:t>
      </w:r>
      <w:r>
        <w:t xml:space="preserve"> </w:t>
      </w:r>
      <w:r>
        <w:t xml:space="preserve">ERP</w:t>
      </w:r>
      <w:r>
        <w:t xml:space="preserve"> </w:t>
      </w:r>
      <w:r>
        <w:t xml:space="preserve">—</w:t>
      </w:r>
      <w:r>
        <w:t xml:space="preserve"> </w:t>
      </w:r>
      <w:r>
        <w:t xml:space="preserve">Data</w:t>
      </w:r>
      <w:r>
        <w:t xml:space="preserve"> </w:t>
      </w:r>
      <w:r>
        <w:t xml:space="preserve">Request:</w:t>
      </w:r>
      <w:r>
        <w:t xml:space="preserve"> </w:t>
      </w:r>
      <w:r>
        <w:t xml:space="preserve">covering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draft</w:t>
      </w:r>
      <w:r>
        <w:t xml:space="preserve"> </w:t>
      </w:r>
      <w:r>
        <w:t xml:space="preserve">email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4" w:name="X032fb0505d0a11cf5169ea5fca597498caa5ce5"/>
    <w:p>
      <w:pPr>
        <w:pStyle w:val="Heading1"/>
      </w:pPr>
      <w:r>
        <w:t xml:space="preserve">Data Request — covering note and draft email</w:t>
      </w:r>
    </w:p>
    <w:p>
      <w:pPr>
        <w:pStyle w:val="FirstParagraph"/>
      </w:pPr>
      <w:r>
        <w:rPr>
          <w:bCs/>
          <w:b/>
        </w:rPr>
        <w:t xml:space="preserve">Version 2.0 · 21 September 2026</w:t>
      </w:r>
    </w:p>
    <w:p>
      <w:pPr>
        <w:numPr>
          <w:ilvl w:val="0"/>
          <w:numId w:val="1001"/>
        </w:numPr>
        <w:pStyle w:val="Compact"/>
      </w:pPr>
      <w:r>
        <w:t xml:space="preserve">Send with:</w:t>
      </w:r>
      <w:r>
        <w:t xml:space="preserve"> </w:t>
      </w:r>
      <w:r>
        <w:rPr>
          <w:rStyle w:val="VerbatimChar"/>
        </w:rPr>
        <w:t xml:space="preserve">MSCAST ERP - Data Collection Workbook.xlsx</w:t>
      </w:r>
      <w:r>
        <w:t xml:space="preserve"> </w:t>
      </w:r>
      <w:r>
        <w:t xml:space="preserve">(16 sheets).</w:t>
      </w:r>
    </w:p>
    <w:p>
      <w:pPr>
        <w:numPr>
          <w:ilvl w:val="0"/>
          <w:numId w:val="1001"/>
        </w:numPr>
        <w:pStyle w:val="Compact"/>
      </w:pPr>
      <w:r>
        <w:t xml:space="preserve">To: both directors, Aiqaz and Mustaque.</w:t>
      </w:r>
    </w:p>
    <w:p>
      <w:pPr>
        <w:numPr>
          <w:ilvl w:val="0"/>
          <w:numId w:val="1001"/>
        </w:numPr>
        <w:pStyle w:val="Compact"/>
      </w:pPr>
      <w:r>
        <w:t xml:space="preserve">The approvals paragraph below is the corrected one: supplier bills (BRM)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separated; purchase orders are. If the version 1.0 email (which said both were separated) was already sent or forwarded, send the corrected paragraph as a follow-up.</w:t>
      </w:r>
    </w:p>
    <w:bookmarkStart w:id="20" w:name="draft-email"/>
    <w:p>
      <w:pPr>
        <w:pStyle w:val="Heading2"/>
      </w:pPr>
      <w:r>
        <w:t xml:space="preserve">Draft email</w:t>
      </w:r>
    </w:p>
    <w:p>
      <w:pPr>
        <w:pStyle w:val="BlockText"/>
      </w:pPr>
      <w:r>
        <w:rPr>
          <w:bCs/>
          <w:b/>
        </w:rPr>
        <w:t xml:space="preserve">Subject:</w:t>
      </w:r>
      <w:r>
        <w:t xml:space="preserve"> </w:t>
      </w:r>
      <w:r>
        <w:t xml:space="preserve">MSCAST ERP — what we need from you to start on real data</w:t>
      </w:r>
    </w:p>
    <w:p>
      <w:pPr>
        <w:pStyle w:val="BlockText"/>
      </w:pPr>
      <w:r>
        <w:t xml:space="preserve">Dear Aiqaz, dear Mustaque,</w:t>
      </w:r>
    </w:p>
    <w:p>
      <w:pPr>
        <w:pStyle w:val="BlockText"/>
      </w:pPr>
      <w:r>
        <w:t xml:space="preserve">Following the demonstration, here is the workbook that turns it into your system. The demonstration runs on invented data (every customer and supplier name ends in</w:t>
      </w:r>
      <w:r>
        <w:t xml:space="preserve"> </w:t>
      </w:r>
      <w:r>
        <w:t xml:space="preserve">“</w:t>
      </w:r>
      <w:r>
        <w:t xml:space="preserve">(DEMO)</w:t>
      </w:r>
      <w:r>
        <w:t xml:space="preserve">”</w:t>
      </w:r>
      <w:r>
        <w:t xml:space="preserve">); none of it carries across. The production system starts empty and is built from this workbook.</w:t>
      </w:r>
    </w:p>
    <w:p>
      <w:pPr>
        <w:pStyle w:val="BlockText"/>
      </w:pPr>
      <w:r>
        <w:rPr>
          <w:bCs/>
          <w:b/>
        </w:rPr>
        <w:t xml:space="preserve">Please don’t wait until it is complete.</w:t>
      </w:r>
      <w:r>
        <w:t xml:space="preserve"> </w:t>
      </w:r>
      <w:r>
        <w:t xml:space="preserve">Sheets 1 to 5 are the masters (company, customers, suppliers, items, employees); nothing else can be loaded until they exist. Send those first; the rest can follow.</w:t>
      </w:r>
    </w:p>
    <w:p>
      <w:pPr>
        <w:pStyle w:val="BlockText"/>
      </w:pPr>
      <w:r>
        <w:t xml:space="preserve">Two items hold up everything else: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Udyam numbers for your MSME suppliers.</w:t>
      </w:r>
      <w:r>
        <w:t xml:space="preserve"> </w:t>
      </w:r>
      <w:r>
        <w:t xml:space="preserve">Without them the 45-day clock cannot run, and a bill unpaid after 45 days is a disallowed expense under s.43B(h). Please ask each supplier for their number in writing.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HSN/SAC codes on every item.</w:t>
      </w:r>
      <w:r>
        <w:t xml:space="preserve"> </w:t>
      </w:r>
      <w:r>
        <w:t xml:space="preserve">Without them a GST invoice cannot be submitted.</w:t>
      </w:r>
    </w:p>
    <w:p>
      <w:pPr>
        <w:pStyle w:val="BlockText"/>
      </w:pPr>
      <w:r>
        <w:rPr>
          <w:bCs/>
          <w:b/>
        </w:rPr>
        <w:t xml:space="preserve">Your own formats.</w:t>
      </w:r>
      <w:r>
        <w:t xml:space="preserve"> </w:t>
      </w:r>
      <w:r>
        <w:t xml:space="preserve">The system carries our reading of these, not yours: your</w:t>
      </w:r>
      <w:r>
        <w:t xml:space="preserve"> </w:t>
      </w:r>
      <w:r>
        <w:rPr>
          <w:bCs/>
          <w:b/>
        </w:rPr>
        <w:t xml:space="preserve">PCC</w:t>
      </w:r>
      <w:r>
        <w:t xml:space="preserve"> </w:t>
      </w:r>
      <w:r>
        <w:t xml:space="preserve">sheet, the</w:t>
      </w:r>
      <w:r>
        <w:t xml:space="preserve"> </w:t>
      </w:r>
      <w:r>
        <w:rPr>
          <w:bCs/>
          <w:b/>
        </w:rPr>
        <w:t xml:space="preserve">Project MIS</w:t>
      </w:r>
      <w:r>
        <w:t xml:space="preserve"> </w:t>
      </w:r>
      <w:r>
        <w:t xml:space="preserve">format, the</w:t>
      </w:r>
      <w:r>
        <w:t xml:space="preserve"> </w:t>
      </w:r>
      <w:r>
        <w:rPr>
          <w:bCs/>
          <w:b/>
        </w:rPr>
        <w:t xml:space="preserve">Billing Routing Memo (BRM)</w:t>
      </w:r>
      <w:r>
        <w:t xml:space="preserve">, and one sample</w:t>
      </w:r>
      <w:r>
        <w:t xml:space="preserve"> </w:t>
      </w:r>
      <w:r>
        <w:rPr>
          <w:bCs/>
          <w:b/>
        </w:rPr>
        <w:t xml:space="preserve">MDM</w:t>
      </w:r>
      <w:r>
        <w:t xml:space="preserve"> </w:t>
      </w:r>
      <w:r>
        <w:t xml:space="preserve">with its Delivery Instruction (DI) and Annexure-I. A photo of a filled-in paper copy is fine.</w:t>
      </w:r>
    </w:p>
    <w:p>
      <w:pPr>
        <w:pStyle w:val="BlockText"/>
      </w:pPr>
      <w:r>
        <w:rPr>
          <w:bCs/>
          <w:b/>
        </w:rPr>
        <w:t xml:space="preserve">Also from you:</w:t>
      </w:r>
    </w:p>
    <w:p>
      <w:pPr>
        <w:numPr>
          <w:ilvl w:val="0"/>
          <w:numId w:val="1003"/>
        </w:numPr>
        <w:pStyle w:val="Compact"/>
      </w:pPr>
      <w:r>
        <w:t xml:space="preserve">Suppliers that should be exempt from BRM certification (electricity, water, rent, telephone, statutory payments).</w:t>
      </w:r>
    </w:p>
    <w:p>
      <w:pPr>
        <w:numPr>
          <w:ilvl w:val="0"/>
          <w:numId w:val="1003"/>
        </w:numPr>
        <w:pStyle w:val="Compact"/>
      </w:pPr>
      <w:r>
        <w:t xml:space="preserve">Who will run the monthly jobs (MSME review, GST, month-end close).</w:t>
      </w:r>
    </w:p>
    <w:p>
      <w:pPr>
        <w:numPr>
          <w:ilvl w:val="0"/>
          <w:numId w:val="1003"/>
        </w:numPr>
        <w:pStyle w:val="Compact"/>
      </w:pPr>
      <w:r>
        <w:t xml:space="preserve">Which Tally year we take opening balances from, and who exports the masters and balances.</w:t>
      </w:r>
    </w:p>
    <w:p>
      <w:pPr>
        <w:numPr>
          <w:ilvl w:val="0"/>
          <w:numId w:val="1003"/>
        </w:numPr>
        <w:pStyle w:val="Compact"/>
      </w:pPr>
      <w:r>
        <w:t xml:space="preserve">Your CA’s name and contact.</w:t>
      </w:r>
    </w:p>
    <w:p>
      <w:pPr>
        <w:pStyle w:val="BlockText"/>
      </w:pPr>
      <w:r>
        <w:rPr>
          <w:bCs/>
          <w:b/>
        </w:rPr>
        <w:t xml:space="preserve">For your CA:</w:t>
      </w:r>
      <w:r>
        <w:t xml:space="preserve"> </w:t>
      </w:r>
      <w:r>
        <w:t xml:space="preserve">the accounting basis (we assumed AS with SMC exemptions, not Ind AS); the income-tax regime (we assumed s.115BAA at 25.168% — has the election been made?); how work in progress should be valued; the basis on which EPF applies at your headcount; whether</w:t>
      </w:r>
      <w:r>
        <w:t xml:space="preserve"> </w:t>
      </w:r>
      <w:r>
        <w:t xml:space="preserve">“</w:t>
      </w:r>
      <w:r>
        <w:t xml:space="preserve">Lease Liabilities</w:t>
      </w:r>
      <w:r>
        <w:t xml:space="preserve">”</w:t>
      </w:r>
      <w:r>
        <w:t xml:space="preserve"> </w:t>
      </w:r>
      <w:r>
        <w:t xml:space="preserve">(an Ind AS 116 head) should stay; when the MSME 45-day clock starts; whether free issue to fabricators goes out on a job-work challan; and whether customers deduct TDS under s.194C. Each assumption is visible in the system, but it should be confirmed rather than inherited.</w:t>
      </w:r>
    </w:p>
    <w:p>
      <w:pPr>
        <w:pStyle w:val="BlockText"/>
      </w:pPr>
      <w:r>
        <w:rPr>
          <w:bCs/>
          <w:b/>
        </w:rPr>
        <w:t xml:space="preserve">Two decisions for you.</w:t>
      </w:r>
    </w:p>
    <w:p>
      <w:pPr>
        <w:numPr>
          <w:ilvl w:val="0"/>
          <w:numId w:val="1004"/>
        </w:numPr>
        <w:pStyle w:val="Compact"/>
      </w:pPr>
      <w:r>
        <w:t xml:space="preserve">A director can prepare a cost sheet and then approve it, and can verify a customer PO and then approve the kick-off. For a company of your size we have left this deliberately; it means those approvals are a second look, not a second person.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director can also raise a supplier-bill certificate (BRM), certify it and mark it paid — all three, alone.</w:t>
      </w:r>
      <w:r>
        <w:t xml:space="preserve"> </w:t>
      </w:r>
      <w:r>
        <w:t xml:space="preserve">That is not what we first described to you, and we are correcting it. It follows from the directors holding the operational roles as well as the approving one.</w:t>
      </w:r>
    </w:p>
    <w:p>
      <w:pPr>
        <w:pStyle w:val="BlockText"/>
      </w:pPr>
      <w:r>
        <w:rPr>
          <w:bCs/>
          <w:b/>
        </w:rPr>
        <w:t xml:space="preserve">Purchase orders are separated:</w:t>
      </w:r>
      <w:r>
        <w:t xml:space="preserve"> </w:t>
      </w:r>
      <w:r>
        <w:t xml:space="preserve">a PO cannot reach a director for approval unless someone in Purchase has sent it, and no director holds that role. And</w:t>
      </w:r>
      <w:r>
        <w:t xml:space="preserve"> </w:t>
      </w:r>
      <w:r>
        <w:rPr>
          <w:bCs/>
          <w:b/>
        </w:rPr>
        <w:t xml:space="preserve">no supplier bill can be paid without a certified BRM</w:t>
      </w:r>
      <w:r>
        <w:t xml:space="preserve">, for anyone including the directors; that is the control that protects the money. If you prefer the tighter arrangement, preparation moves to your staff and the directors approve only. Please tell us which you want.</w:t>
      </w:r>
    </w:p>
    <w:p>
      <w:pPr>
        <w:pStyle w:val="BlockText"/>
      </w:pPr>
      <w:r>
        <w:t xml:space="preserve">Happy to walk through any sheet on a call.</w:t>
      </w:r>
    </w:p>
    <w:p>
      <w:pPr>
        <w:pStyle w:val="BlockText"/>
      </w:pPr>
      <w:r>
        <w:t xml:space="preserve">Kind regards,</w:t>
      </w:r>
      <w:r>
        <w:t xml:space="preserve"> </w:t>
      </w:r>
      <w:r>
        <w:t xml:space="preserve">Sanjay</w:t>
      </w:r>
    </w:p>
    <w:bookmarkEnd w:id="20"/>
    <w:bookmarkStart w:id="21" w:name="effort-per-sheet"/>
    <w:p>
      <w:pPr>
        <w:pStyle w:val="Heading2"/>
      </w:pPr>
      <w:r>
        <w:t xml:space="preserve">Effort per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8"/>
        <w:gridCol w:w="1980"/>
        <w:gridCol w:w="1425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fills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 hold-up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 and IEC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GSTINs for older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Udyam numbers: every supplier must be asked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+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HSN codes; listing every 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UAN and ESIC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Opening trial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+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balance to the rupee before anything 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7–8 Receivables, payables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 by invoice, not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Opening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lying at subcontractors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10–11 Open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Sales,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Installed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/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doing even if nothing else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Bank 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Expiry dates</w:t>
            </w:r>
            <w:r>
              <w:t xml:space="preserve">, or the alert cannot 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reference is on that sheet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Sheet 3 is the critical path</w:t>
      </w:r>
      <w:r>
        <w:t xml:space="preserve"> </w:t>
      </w:r>
      <w:r>
        <w:t xml:space="preserve">(it waits on supplier replies). Start it on day one.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Sheets 7–8 as totals</w:t>
      </w:r>
      <w:r>
        <w:t xml:space="preserve"> </w:t>
      </w:r>
      <w:r>
        <w:t xml:space="preserve">make ageing, the MSME clock and payment allocation wrong from day one, and cannot be fixed later without redoing them.</w:t>
      </w:r>
    </w:p>
    <w:bookmarkEnd w:id="21"/>
    <w:bookmarkStart w:id="22" w:name="what-happens-next"/>
    <w:p>
      <w:pPr>
        <w:pStyle w:val="Heading2"/>
      </w:pPr>
      <w:r>
        <w:t xml:space="preserve">What happens next</w:t>
      </w:r>
    </w:p>
    <w:p>
      <w:pPr>
        <w:numPr>
          <w:ilvl w:val="0"/>
          <w:numId w:val="1006"/>
        </w:numPr>
        <w:pStyle w:val="Compact"/>
      </w:pPr>
      <w:r>
        <w:t xml:space="preserve">Masters loaded and checked (sheets 1–5).</w:t>
      </w:r>
    </w:p>
    <w:p>
      <w:pPr>
        <w:numPr>
          <w:ilvl w:val="0"/>
          <w:numId w:val="1006"/>
        </w:numPr>
        <w:pStyle w:val="Compact"/>
      </w:pPr>
      <w:r>
        <w:t xml:space="preserve">Users created, roles assigned; everyone logs in once and changes their password.</w:t>
      </w:r>
    </w:p>
    <w:p>
      <w:pPr>
        <w:numPr>
          <w:ilvl w:val="0"/>
          <w:numId w:val="1006"/>
        </w:numPr>
        <w:pStyle w:val="Compact"/>
      </w:pPr>
      <w:r>
        <w:t xml:space="preserve">Each person walks their own process on the system with their role card.</w:t>
      </w:r>
    </w:p>
    <w:p>
      <w:pPr>
        <w:numPr>
          <w:ilvl w:val="0"/>
          <w:numId w:val="1006"/>
        </w:numPr>
        <w:pStyle w:val="Compact"/>
      </w:pPr>
      <w:r>
        <w:t xml:space="preserve">Opening balances loaded and reconciled against Tally to the rupee, signed off by the CA.</w:t>
      </w:r>
    </w:p>
    <w:p>
      <w:pPr>
        <w:numPr>
          <w:ilvl w:val="0"/>
          <w:numId w:val="1006"/>
        </w:numPr>
        <w:pStyle w:val="Compact"/>
      </w:pPr>
      <w:r>
        <w:t xml:space="preserve">One month of parallel running before Tally is retired.</w:t>
      </w:r>
    </w:p>
    <w:p>
      <w:pPr>
        <w:pStyle w:val="FirstParagraph"/>
      </w:pPr>
      <w:r>
        <w:t xml:space="preserve">Full sequence: doc 05 (Client Setup Guide); the cutover day: doc 08 (Production Cutover Runbook).</w:t>
      </w:r>
    </w:p>
    <w:bookmarkEnd w:id="22"/>
    <w:bookmarkStart w:id="23" w:name="before-sending"/>
    <w:p>
      <w:pPr>
        <w:pStyle w:val="Heading2"/>
      </w:pPr>
      <w:r>
        <w:t xml:space="preserve">Before sending</w:t>
      </w:r>
    </w:p>
    <w:p>
      <w:pPr>
        <w:numPr>
          <w:ilvl w:val="0"/>
          <w:numId w:val="1007"/>
        </w:numPr>
        <w:pStyle w:val="Compact"/>
      </w:pPr>
      <w:r>
        <w:t xml:space="preserve">☐ The approvals paragraph is the version 2.0 text above.</w:t>
      </w:r>
    </w:p>
    <w:p>
      <w:pPr>
        <w:numPr>
          <w:ilvl w:val="0"/>
          <w:numId w:val="1007"/>
        </w:numPr>
        <w:pStyle w:val="Compact"/>
      </w:pPr>
      <w:r>
        <w:t xml:space="preserve">☐ Workbook unchanged: the grey example rows stay; MSCAST deletes them.</w:t>
      </w:r>
    </w:p>
    <w:p>
      <w:pPr>
        <w:numPr>
          <w:ilvl w:val="0"/>
          <w:numId w:val="1007"/>
        </w:numPr>
        <w:pStyle w:val="Compact"/>
      </w:pPr>
      <w:r>
        <w:t xml:space="preserve">☐ Addressed to both directors.</w:t>
      </w:r>
    </w:p>
    <w:p>
      <w:pPr>
        <w:numPr>
          <w:ilvl w:val="0"/>
          <w:numId w:val="1007"/>
        </w:numPr>
        <w:pStyle w:val="Compact"/>
      </w:pPr>
      <w:r>
        <w:t xml:space="preserve">☐ Attach only the workbook.</w:t>
      </w:r>
    </w:p>
    <w:p>
      <w:pPr>
        <w:numPr>
          <w:ilvl w:val="0"/>
          <w:numId w:val="1007"/>
        </w:numPr>
        <w:pStyle w:val="Compact"/>
      </w:pPr>
      <w:r>
        <w:t xml:space="preserve">☐ State a follow-up date.</w:t>
      </w:r>
    </w:p>
    <w:p>
      <w:pPr>
        <w:numPr>
          <w:ilvl w:val="0"/>
          <w:numId w:val="1007"/>
        </w:numPr>
        <w:pStyle w:val="Compact"/>
      </w:pPr>
      <w:r>
        <w:t xml:space="preserve">☐ Send the role cards (doc 09)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sheet 14 comes back, not with it.</w:t>
      </w:r>
    </w:p>
    <w:p>
      <w:pPr>
        <w:numPr>
          <w:ilvl w:val="0"/>
          <w:numId w:val="1007"/>
        </w:numPr>
        <w:pStyle w:val="Compact"/>
      </w:pPr>
      <w:r>
        <w:t xml:space="preserve">☐ Do not change the BRM separation quietly before MSCAST decides (Q21): raise it as their choice.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MSCAST ERP — Data Request: covering note and draft email</dc:title>
  <dc:creator/>
  <cp:keywords/>
  <dcterms:created xsi:type="dcterms:W3CDTF">2026-09-21T12:15:52Z</dcterms:created>
  <dcterms:modified xsi:type="dcterms:W3CDTF">2026-09-21T12:15:52Z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