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Data</w:t>
      </w:r>
      <w:r>
        <w:t xml:space="preserve"> </w:t>
      </w:r>
      <w:r>
        <w:t xml:space="preserve">Request:</w:t>
      </w:r>
      <w:r>
        <w:t xml:space="preserve"> </w:t>
      </w:r>
      <w:r>
        <w:t xml:space="preserve">covering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draft</w:t>
      </w:r>
      <w:r>
        <w:t xml:space="preserve"> </w:t>
      </w:r>
      <w:r>
        <w:t xml:space="preserve">email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X032fb0505d0a11cf5169ea5fca597498caa5ce5"/>
    <w:p>
      <w:pPr>
        <w:pStyle w:val="Heading1"/>
      </w:pPr>
      <w:r>
        <w:t xml:space="preserve">Data Request — covering note and draft email</w:t>
      </w:r>
    </w:p>
    <w:p>
      <w:pPr>
        <w:pStyle w:val="FirstParagraph"/>
      </w:pPr>
      <w:r>
        <w:rPr>
          <w:bCs/>
          <w:b/>
        </w:rPr>
        <w:t xml:space="preserve">Version 1.1 · 20 September 2026</w:t>
      </w:r>
    </w:p>
    <w:p>
      <w:pPr>
        <w:pStyle w:val="BodyText"/>
      </w:pPr>
      <w:r>
        <w:t xml:space="preserve">The workbook is ready to send:</w:t>
      </w:r>
      <w:r>
        <w:t xml:space="preserve"> </w:t>
      </w:r>
      <w:r>
        <w:rPr>
          <w:rStyle w:val="VerbatimChar"/>
        </w:rPr>
        <w:t xml:space="preserve">MSCAST ERP - Data Collection Workbook.xlsx</w:t>
      </w:r>
      <w:r>
        <w:t xml:space="preserve">, 16 sheets.</w:t>
      </w:r>
    </w:p>
    <w:p>
      <w:pPr>
        <w:pStyle w:val="BodyText"/>
      </w:pPr>
      <w:r>
        <w:t xml:space="preserve">This document holds the message that should go with it, and the answer to the question MSCAST will actually ask —</w:t>
      </w:r>
      <w:r>
        <w:t xml:space="preserve"> </w:t>
      </w:r>
      <w:r>
        <w:rPr>
          <w:iCs/>
          <w:i/>
        </w:rPr>
        <w:t xml:space="preserve">how long will this take us?</w:t>
      </w:r>
    </w:p>
    <w:p>
      <w:pPr>
        <w:pStyle w:val="BlockText"/>
      </w:pPr>
      <w:r>
        <w:rPr>
          <w:bCs/>
          <w:b/>
        </w:rPr>
        <w:t xml:space="preserve">Correction in version 1.1 — read this before sending.</w:t>
      </w:r>
      <w:r>
        <w:t xml:space="preserve"> </w:t>
      </w:r>
      <w:r>
        <w:t xml:space="preserve">Version 1.0 of the draft email told MSCAST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purchase orders and supplier bills are different: there the separation is enforced and cannot be bypassed.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Half of that is wrong.</w:t>
      </w:r>
      <w:r>
        <w:t xml:space="preserve"> </w:t>
      </w:r>
      <w:r>
        <w:t xml:space="preserve">Purchase orders are genuinely separated — sending one for approval needs</w:t>
      </w:r>
      <w:r>
        <w:t xml:space="preserve"> </w:t>
      </w:r>
      <w:r>
        <w:rPr>
          <w:rStyle w:val="VerbatimChar"/>
        </w:rPr>
        <w:t xml:space="preserve">Purchase User</w:t>
      </w:r>
      <w:r>
        <w:t xml:space="preserve">, approving it needs</w:t>
      </w:r>
      <w:r>
        <w:t xml:space="preserve"> </w:t>
      </w:r>
      <w:r>
        <w:rPr>
          <w:rStyle w:val="VerbatimChar"/>
        </w:rPr>
        <w:t xml:space="preserve">MSCAST Director</w:t>
      </w:r>
      <w:r>
        <w:t xml:space="preserve">, and nobody holds both. Supplier bills are not: a director holds roles that can create a BRM, certify it and mark it paid. The paragraph below has been rewritten.</w:t>
      </w:r>
      <w:r>
        <w:t xml:space="preserve"> </w:t>
      </w:r>
      <w:r>
        <w:rPr>
          <w:bCs/>
          <w:b/>
        </w:rPr>
        <w:t xml:space="preserve">If the version 1.0 text was already sent or forwarded, send the corrected paragraph after it</w:t>
      </w:r>
      <w:r>
        <w:t xml:space="preserve"> </w:t>
      </w:r>
      <w:r>
        <w:t xml:space="preserve">— telling a client a control exists when it does not is the one error that is worse than the control being absent.</w:t>
      </w:r>
    </w:p>
    <w:p>
      <w:r>
        <w:pict>
          <v:rect style="width:0;height:1.5pt" o:hralign="center" o:hrstd="t" o:hr="t"/>
        </w:pict>
      </w:r>
    </w:p>
    <w:bookmarkStart w:id="20" w:name="draft-email"/>
    <w:p>
      <w:pPr>
        <w:pStyle w:val="Heading2"/>
      </w:pPr>
      <w:r>
        <w:t xml:space="preserve">Draft email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MSCAST ERP — what we need from you to start on real data</w:t>
      </w:r>
    </w:p>
    <w:p>
      <w:pPr>
        <w:pStyle w:val="BlockText"/>
      </w:pPr>
      <w:r>
        <w:t xml:space="preserve">Dear Aiqaz, dear Mustaque,</w:t>
      </w:r>
    </w:p>
    <w:p>
      <w:pPr>
        <w:pStyle w:val="BlockText"/>
      </w:pPr>
      <w:r>
        <w:t xml:space="preserve">Following the demonstration, here is the workbook that turns it into your system.</w:t>
      </w:r>
    </w:p>
    <w:p>
      <w:pPr>
        <w:pStyle w:val="BlockText"/>
      </w:pPr>
      <w:r>
        <w:t xml:space="preserve">The demonstration you saw runs entirely on invented data — every customer and supplier name in it ends in</w:t>
      </w:r>
      <w:r>
        <w:t xml:space="preserve"> </w:t>
      </w:r>
      <w:r>
        <w:t xml:space="preserve">“</w:t>
      </w:r>
      <w:r>
        <w:t xml:space="preserve">(DEMO)</w:t>
      </w:r>
      <w:r>
        <w:t xml:space="preserve">”</w:t>
      </w:r>
      <w:r>
        <w:t xml:space="preserve">. None of that carries across. The production system starts empty and is built from this workbook, which is why it matters more than it looks.</w:t>
      </w:r>
    </w:p>
    <w:p>
      <w:pPr>
        <w:pStyle w:val="BlockText"/>
      </w:pPr>
      <w:r>
        <w:rPr>
          <w:bCs/>
          <w:b/>
        </w:rPr>
        <w:t xml:space="preserve">Please don’t wait until it is complete.</w:t>
      </w:r>
      <w:r>
        <w:t xml:space="preserve"> </w:t>
      </w:r>
      <w:r>
        <w:t xml:space="preserve">Sheets 1 to 5 are the masters — company, customers, suppliers, items, employees — and nothing else can be loaded until they exist. If you send only those, we can begin. The rest can follow.</w:t>
      </w:r>
    </w:p>
    <w:p>
      <w:pPr>
        <w:pStyle w:val="BlockText"/>
      </w:pPr>
      <w:r>
        <w:t xml:space="preserve">Two things are worth flagging because they hold everything else up if they are missing: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Udyam numbers for your MSME suppliers.</w:t>
      </w:r>
      <w:r>
        <w:t xml:space="preserve"> </w:t>
      </w:r>
      <w:r>
        <w:t xml:space="preserve">Without them the 45-day clock cannot run, and a bill past 45 days is a disallowed expense under section 43B(h) — real money at assessment. Please ask each supplier for their number in writing; their own declaration is your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HSN/SAC codes on every item.</w:t>
      </w:r>
      <w:r>
        <w:t xml:space="preserve"> </w:t>
      </w:r>
      <w:r>
        <w:t xml:space="preserve">Without them a GST invoice cannot be submitted at all.</w:t>
      </w:r>
    </w:p>
    <w:p>
      <w:pPr>
        <w:pStyle w:val="BlockText"/>
      </w:pPr>
      <w:r>
        <w:t xml:space="preserve">Alongside the workbook we still need four of your own documents, because the system currently carries</w:t>
      </w:r>
      <w:r>
        <w:t xml:space="preserve"> </w:t>
      </w:r>
      <w:r>
        <w:rPr>
          <w:iCs/>
          <w:i/>
        </w:rPr>
        <w:t xml:space="preserve">our reading</w:t>
      </w:r>
      <w:r>
        <w:t xml:space="preserve"> </w:t>
      </w:r>
      <w:r>
        <w:t xml:space="preserve">of them rather than yours: your</w:t>
      </w:r>
      <w:r>
        <w:t xml:space="preserve"> </w:t>
      </w:r>
      <w:r>
        <w:rPr>
          <w:bCs/>
          <w:b/>
        </w:rPr>
        <w:t xml:space="preserve">PCC</w:t>
      </w:r>
      <w:r>
        <w:t xml:space="preserve"> </w:t>
      </w:r>
      <w:r>
        <w:t xml:space="preserve">sheet, the</w:t>
      </w:r>
      <w:r>
        <w:t xml:space="preserve"> </w:t>
      </w:r>
      <w:r>
        <w:rPr>
          <w:bCs/>
          <w:b/>
        </w:rPr>
        <w:t xml:space="preserve">Project MIS</w:t>
      </w:r>
      <w:r>
        <w:t xml:space="preserve"> </w:t>
      </w:r>
      <w:r>
        <w:t xml:space="preserve">format, the</w:t>
      </w:r>
      <w:r>
        <w:t xml:space="preserve"> </w:t>
      </w:r>
      <w:r>
        <w:rPr>
          <w:bCs/>
          <w:b/>
        </w:rPr>
        <w:t xml:space="preserve">Billing Routing Memo</w:t>
      </w:r>
      <w:r>
        <w:t xml:space="preserve">, and one sample</w:t>
      </w:r>
      <w:r>
        <w:t xml:space="preserve"> </w:t>
      </w:r>
      <w:r>
        <w:rPr>
          <w:bCs/>
          <w:b/>
        </w:rPr>
        <w:t xml:space="preserve">MDM</w:t>
      </w:r>
      <w:r>
        <w:t xml:space="preserve"> </w:t>
      </w:r>
      <w:r>
        <w:t xml:space="preserve">with its Delivery Instruction and Annexure-I. A photograph of a filled-in paper copy is perfectly good.</w:t>
      </w:r>
    </w:p>
    <w:p>
      <w:pPr>
        <w:pStyle w:val="BlockText"/>
      </w:pPr>
      <w:r>
        <w:t xml:space="preserve">And four questions for your CA: the</w:t>
      </w:r>
      <w:r>
        <w:t xml:space="preserve"> </w:t>
      </w:r>
      <w:r>
        <w:rPr>
          <w:bCs/>
          <w:b/>
        </w:rPr>
        <w:t xml:space="preserve">accounting basis</w:t>
      </w:r>
      <w:r>
        <w:t xml:space="preserve"> </w:t>
      </w:r>
      <w:r>
        <w:t xml:space="preserve">(we have assumed AS with SMC exemptions, not Ind AS), the</w:t>
      </w:r>
      <w:r>
        <w:t xml:space="preserve"> </w:t>
      </w:r>
      <w:r>
        <w:rPr>
          <w:bCs/>
          <w:b/>
        </w:rPr>
        <w:t xml:space="preserve">income tax regime</w:t>
      </w:r>
      <w:r>
        <w:t xml:space="preserve"> </w:t>
      </w:r>
      <w:r>
        <w:t xml:space="preserve">(assumed s.115BAA at 25.168%),</w:t>
      </w:r>
      <w:r>
        <w:t xml:space="preserve"> </w:t>
      </w:r>
      <w:r>
        <w:rPr>
          <w:bCs/>
          <w:b/>
        </w:rPr>
        <w:t xml:space="preserve">how work in progress should be valued</w:t>
      </w:r>
      <w:r>
        <w:t xml:space="preserve">, and whether</w:t>
      </w:r>
      <w:r>
        <w:t xml:space="preserve"> </w:t>
      </w:r>
      <w:r>
        <w:rPr>
          <w:bCs/>
          <w:b/>
        </w:rPr>
        <w:t xml:space="preserve">PF, ESI and gratuity</w:t>
      </w:r>
      <w:r>
        <w:t xml:space="preserve"> </w:t>
      </w:r>
      <w:r>
        <w:t xml:space="preserve">apply as we have modelled them. Each assumption is written into the system where it matters, so nothing is hidden — but they should be confirmed rather than inherited.</w:t>
      </w:r>
    </w:p>
    <w:p>
      <w:pPr>
        <w:pStyle w:val="BlockText"/>
      </w:pPr>
      <w:r>
        <w:rPr>
          <w:bCs/>
          <w:b/>
        </w:rPr>
        <w:t xml:space="preserve">Two decisions we would like your view on, and we would rather raise them than let you find them later.</w:t>
      </w:r>
    </w:p>
    <w:p>
      <w:pPr>
        <w:pStyle w:val="BlockText"/>
      </w:pPr>
      <w:r>
        <w:t xml:space="preserve">As the system stands, a director can prepare a cost sheet and then approve it, and can verify a customer purchase order and then approve the kick-off. For a company of your size that is normal and we have left it that way deliberately — but it means those approvals are a second look rather than a second pair of hands.</w:t>
      </w:r>
    </w:p>
    <w:p>
      <w:pPr>
        <w:pStyle w:val="BlockText"/>
      </w:pPr>
      <w:r>
        <w:t xml:space="preserve">The second is the one that matters more, because it is the step that sends money out of the company.</w:t>
      </w:r>
      <w:r>
        <w:t xml:space="preserve"> </w:t>
      </w:r>
      <w:r>
        <w:rPr>
          <w:bCs/>
          <w:b/>
        </w:rPr>
        <w:t xml:space="preserve">A director can also raise a supplier-bill certificate, certify it, and mark it paid — all three, alone.</w:t>
      </w:r>
      <w:r>
        <w:t xml:space="preserve"> </w:t>
      </w:r>
      <w:r>
        <w:t xml:space="preserve">That is not what we originally described to you, and we would rather correct it than leave it. It is a consequence of the directors holding the operational roles as well as the approving one, which in a company of ten people is difficult to avoid entirely.</w:t>
      </w:r>
    </w:p>
    <w:p>
      <w:pPr>
        <w:pStyle w:val="BlockText"/>
      </w:pPr>
      <w:r>
        <w:t xml:space="preserve">Two things are worth saying alongside it.</w:t>
      </w:r>
      <w:r>
        <w:t xml:space="preserve"> </w:t>
      </w:r>
      <w:r>
        <w:rPr>
          <w:bCs/>
          <w:b/>
        </w:rPr>
        <w:t xml:space="preserve">Purchase orders are genuinely separated</w:t>
      </w:r>
      <w:r>
        <w:t xml:space="preserve"> </w:t>
      </w:r>
      <w:r>
        <w:t xml:space="preserve">— a purchase order cannot reach a director for approval unless someone in Purchase has sent it, and no director holds that role. And</w:t>
      </w:r>
      <w:r>
        <w:t xml:space="preserve"> </w:t>
      </w:r>
      <w:r>
        <w:rPr>
          <w:bCs/>
          <w:b/>
        </w:rPr>
        <w:t xml:space="preserve">no bill of any kind can be paid without a certified certificate</w:t>
      </w:r>
      <w:r>
        <w:t xml:space="preserve">; that block applies to everyone including the directors, and it is the control that actually protects the money.</w:t>
      </w:r>
    </w:p>
    <w:p>
      <w:pPr>
        <w:pStyle w:val="BlockText"/>
      </w:pPr>
      <w:r>
        <w:t xml:space="preserve">If you would prefer the tighter arrangement, it is a small change: preparation moves to your staff, and the directors approve only. Tell us which you want.</w:t>
      </w:r>
    </w:p>
    <w:p>
      <w:pPr>
        <w:pStyle w:val="BlockText"/>
      </w:pPr>
      <w:r>
        <w:t xml:space="preserve">Happy to walk through any sheet on a call.</w:t>
      </w:r>
    </w:p>
    <w:p>
      <w:pPr>
        <w:pStyle w:val="BlockText"/>
      </w:pPr>
      <w:r>
        <w:t xml:space="preserve">Kind regards,</w:t>
      </w:r>
      <w:r>
        <w:t xml:space="preserve"> </w:t>
      </w:r>
      <w:r>
        <w:t xml:space="preserve">Sanjay</w:t>
      </w:r>
    </w:p>
    <w:p>
      <w:r>
        <w:pict>
          <v:rect style="width:0;height:1.5pt" o:hralign="center" o:hrstd="t" o:hr="t"/>
        </w:pict>
      </w:r>
    </w:p>
    <w:bookmarkEnd w:id="20"/>
    <w:bookmarkStart w:id="21" w:name="what-to-expect-back-and-when"/>
    <w:p>
      <w:pPr>
        <w:pStyle w:val="Heading2"/>
      </w:pPr>
      <w:r>
        <w:t xml:space="preserve">What to expect back, and when</w:t>
      </w:r>
    </w:p>
    <w:p>
      <w:pPr>
        <w:pStyle w:val="FirstParagraph"/>
      </w:pPr>
      <w:r>
        <w:t xml:space="preserve">The honest answer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long will this take us?</w:t>
      </w:r>
      <w:r>
        <w:rPr>
          <w:iCs/>
          <w:i/>
        </w:rPr>
        <w:t xml:space="preserve">”</w:t>
      </w:r>
      <w:r>
        <w:t xml:space="preserve"> </w:t>
      </w:r>
      <w:r>
        <w:t xml:space="preserve">is that the effort is not evenly spread. Setting expectations early stops the whole thing stalling on sheet 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fills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usual hold-up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the CIN and IEC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GSTINs for older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to two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Udyam numbers — every supplier has to be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 three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HSN codes; the temptation to list every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UAN and ESIC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Opening 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+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balance to the rupee before anything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 Receivables, payables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two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by invoice, not lump sums</w:t>
            </w:r>
            <w:r>
              <w:t xml:space="preserve"> </w:t>
            </w:r>
            <w:r>
              <w:t xml:space="preserve">— this is the one people 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Opening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lying at subcontractors is always forgotten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 Open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Installed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doing even if nothing else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Bank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 dates</w:t>
            </w:r>
            <w:r>
              <w:t xml:space="preserve"> </w:t>
            </w:r>
            <w:r>
              <w:t xml:space="preserve">— without them the alert cannot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roles reference on that sheet</w:t>
            </w:r>
          </w:p>
        </w:tc>
      </w:tr>
    </w:tbl>
    <w:p>
      <w:pPr>
        <w:pStyle w:val="BodyText"/>
      </w:pPr>
      <w:r>
        <w:rPr>
          <w:bCs/>
          <w:b/>
        </w:rPr>
        <w:t xml:space="preserve">Sheet 3 is the critical path.</w:t>
      </w:r>
      <w:r>
        <w:t xml:space="preserve"> </w:t>
      </w:r>
      <w:r>
        <w:t xml:space="preserve">Not because it is hard, but because it depends on suppliers replying. It should be started on day one regardless of everything else.</w:t>
      </w:r>
    </w:p>
    <w:p>
      <w:pPr>
        <w:pStyle w:val="BodyText"/>
      </w:pPr>
      <w:r>
        <w:rPr>
          <w:bCs/>
          <w:b/>
        </w:rPr>
        <w:t xml:space="preserve">Sheets 7 and 8 are where quality is lost.</w:t>
      </w:r>
      <w:r>
        <w:t xml:space="preserve"> </w:t>
      </w:r>
      <w:r>
        <w:t xml:space="preserve">Sent as totals rather than invoice by invoice, the ageing is wrong, the MSME clock is wrong and payment allocation is wrong from day one — and it is not fixable later without redoing it.</w:t>
      </w:r>
    </w:p>
    <w:p>
      <w:r>
        <w:pict>
          <v:rect style="width:0;height:1.5pt" o:hralign="center" o:hrstd="t" o:hr="t"/>
        </w:pict>
      </w:r>
    </w:p>
    <w:bookmarkEnd w:id="21"/>
    <w:bookmarkStart w:id="22" w:name="what-we-do-with-it"/>
    <w:p>
      <w:pPr>
        <w:pStyle w:val="Heading2"/>
      </w:pPr>
      <w:r>
        <w:t xml:space="preserve">What we do with it</w:t>
      </w:r>
    </w:p>
    <w:p>
      <w:pPr>
        <w:numPr>
          <w:ilvl w:val="0"/>
          <w:numId w:val="1002"/>
        </w:numPr>
        <w:pStyle w:val="Compact"/>
      </w:pPr>
      <w:r>
        <w:t xml:space="preserve">Masters loaded and checked (sheets 1–5)</w:t>
      </w:r>
    </w:p>
    <w:p>
      <w:pPr>
        <w:numPr>
          <w:ilvl w:val="0"/>
          <w:numId w:val="1002"/>
        </w:numPr>
        <w:pStyle w:val="Compact"/>
      </w:pPr>
      <w:r>
        <w:t xml:space="preserve">Users created, roles assigned, everyone logs in once and changes their password</w:t>
      </w:r>
    </w:p>
    <w:p>
      <w:pPr>
        <w:numPr>
          <w:ilvl w:val="0"/>
          <w:numId w:val="1002"/>
        </w:numPr>
        <w:pStyle w:val="Compact"/>
      </w:pPr>
      <w:r>
        <w:t xml:space="preserve">Each person walks their own process on the system, holding their role card</w:t>
      </w:r>
    </w:p>
    <w:p>
      <w:pPr>
        <w:numPr>
          <w:ilvl w:val="0"/>
          <w:numId w:val="1002"/>
        </w:numPr>
        <w:pStyle w:val="Compact"/>
      </w:pPr>
      <w:r>
        <w:t xml:space="preserve">Opening balances loaded and reconciled against Tally</w:t>
      </w:r>
      <w:r>
        <w:t xml:space="preserve"> </w:t>
      </w:r>
      <w:r>
        <w:rPr>
          <w:bCs/>
          <w:b/>
        </w:rPr>
        <w:t xml:space="preserve">to the rupee</w:t>
      </w:r>
      <w:r>
        <w:t xml:space="preserve">, signed off by the CA</w:t>
      </w:r>
    </w:p>
    <w:p>
      <w:pPr>
        <w:numPr>
          <w:ilvl w:val="0"/>
          <w:numId w:val="1002"/>
        </w:numPr>
        <w:pStyle w:val="Compact"/>
      </w:pPr>
      <w:r>
        <w:t xml:space="preserve">One month of parallel running before Tally is retired</w:t>
      </w:r>
    </w:p>
    <w:p>
      <w:pPr>
        <w:pStyle w:val="FirstParagraph"/>
      </w:pPr>
      <w:r>
        <w:t xml:space="preserve">Full sequence in the</w:t>
      </w:r>
      <w:r>
        <w:t xml:space="preserve"> </w:t>
      </w:r>
      <w:r>
        <w:rPr>
          <w:iCs/>
          <w:i/>
        </w:rPr>
        <w:t xml:space="preserve">Client Setup Guide</w:t>
      </w:r>
      <w:r>
        <w:t xml:space="preserve">, and the day itself in the</w:t>
      </w:r>
      <w:r>
        <w:t xml:space="preserve"> </w:t>
      </w:r>
      <w:r>
        <w:rPr>
          <w:iCs/>
          <w:i/>
        </w:rPr>
        <w:t xml:space="preserve">Production Cutover Runbook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before-sending-a-short-checklist"/>
    <w:p>
      <w:pPr>
        <w:pStyle w:val="Heading2"/>
      </w:pPr>
      <w:r>
        <w:t xml:space="preserve">Before sending — a short checklist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Use the version 1.1 paragraph on approvals.</w:t>
      </w:r>
      <w:r>
        <w:t xml:space="preserve"> </w:t>
      </w:r>
      <w:r>
        <w:t xml:space="preserve">The version 1.0 wording claimed supplier bills were separated. They are not.</w:t>
      </w:r>
    </w:p>
    <w:p>
      <w:pPr>
        <w:numPr>
          <w:ilvl w:val="0"/>
          <w:numId w:val="1003"/>
        </w:numPr>
        <w:pStyle w:val="Compact"/>
      </w:pPr>
      <w:r>
        <w:t xml:space="preserve">☐ Delete nothing from the workbook. The grey example rows are meant to be there; MSCAST deletes them.</w:t>
      </w:r>
    </w:p>
    <w:p>
      <w:pPr>
        <w:numPr>
          <w:ilvl w:val="0"/>
          <w:numId w:val="1003"/>
        </w:numPr>
        <w:pStyle w:val="Compact"/>
      </w:pPr>
      <w:r>
        <w:t xml:space="preserve">☐ Confirm the current recipients — this goes to both directors, not one.</w:t>
      </w:r>
    </w:p>
    <w:p>
      <w:pPr>
        <w:numPr>
          <w:ilvl w:val="0"/>
          <w:numId w:val="1003"/>
        </w:numPr>
        <w:pStyle w:val="Compact"/>
      </w:pPr>
      <w:r>
        <w:t xml:space="preserve">☐ Attach nothing else. One workbook and one message; a pack of documents gets skimmed.</w:t>
      </w:r>
    </w:p>
    <w:p>
      <w:pPr>
        <w:numPr>
          <w:ilvl w:val="0"/>
          <w:numId w:val="1003"/>
        </w:numPr>
        <w:pStyle w:val="Compact"/>
      </w:pPr>
      <w:r>
        <w:t xml:space="preserve">☐ Say when you will chase. A data request with no follow-up date is a data request that arrives in March.</w:t>
      </w:r>
    </w:p>
    <w:p>
      <w:pPr>
        <w:numPr>
          <w:ilvl w:val="0"/>
          <w:numId w:val="1003"/>
        </w:numPr>
        <w:pStyle w:val="Compact"/>
      </w:pPr>
      <w:r>
        <w:t xml:space="preserve">☐ Have the role cards ready to send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sheet 14 comes back, not with it — they are for the people who will use the system, and they land better once the names exist.</w:t>
      </w:r>
    </w:p>
    <w:p>
      <w:r>
        <w:pict>
          <v:rect style="width:0;height:1.5pt" o:hralign="center" o:hrstd="t" o:hr="t"/>
        </w:pict>
      </w:r>
    </w:p>
    <w:bookmarkEnd w:id="23"/>
    <w:bookmarkStart w:id="24" w:name="X297957f425c832ff2c88ae54dd23d6a14a7dd32"/>
    <w:p>
      <w:pPr>
        <w:pStyle w:val="Heading2"/>
      </w:pPr>
      <w:r>
        <w:t xml:space="preserve">A note on raising the second decision at all</w:t>
      </w:r>
    </w:p>
    <w:p>
      <w:pPr>
        <w:pStyle w:val="FirstParagraph"/>
      </w:pPr>
      <w:r>
        <w:t xml:space="preserve">There is a temptation to fix the BRM separation quietly before MSCAST ever hears about it, and send the original paragraph unchanged.</w:t>
      </w:r>
    </w:p>
    <w:p>
      <w:pPr>
        <w:pStyle w:val="BodyText"/>
      </w:pPr>
      <w:r>
        <w:t xml:space="preserve">That would be a mistake for a practical reason as much as an honest one. The arrangement exists because the directors hold operational roles, which in a ten-person company is a real constraint rather than an oversight — so</w:t>
      </w:r>
      <w:r>
        <w:t xml:space="preserve"> </w:t>
      </w:r>
      <w:r>
        <w:t xml:space="preserve">“</w:t>
      </w:r>
      <w:r>
        <w:t xml:space="preserve">fixing</w:t>
      </w:r>
      <w:r>
        <w:t xml:space="preserve">”</w:t>
      </w:r>
      <w:r>
        <w:t xml:space="preserve"> </w:t>
      </w:r>
      <w:r>
        <w:t xml:space="preserve">it silently means imposing a working practice on them that they never agreed to, and which they will route around in week three. Raised as a choice, it is a conversation about how they want to work. Discovered later by their auditor, it is a question about what else was described inaccurately.</w:t>
      </w:r>
    </w:p>
    <w:p>
      <w:pPr>
        <w:pStyle w:val="BodyText"/>
      </w:pPr>
      <w:r>
        <w:t xml:space="preserve">The same argument applies to having claimed it in the first place. Correcting it in the next message costs a paragraph; leaving it costs the credibility of every other control in the document.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Data Request: covering note and draft email</dc:title>
  <dc:creator/>
  <cp:keywords/>
  <dcterms:created xsi:type="dcterms:W3CDTF">2026-09-20T09:53:03Z</dcterms:created>
  <dcterms:modified xsi:type="dcterms:W3CDTF">2026-09-20T09:53:03Z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